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BCB70" w14:textId="7B7F25C5" w:rsidR="00F83AA4" w:rsidRPr="00FE1403" w:rsidRDefault="00F83AA4" w:rsidP="00F83AA4">
      <w:pPr>
        <w:pBdr>
          <w:top w:val="single" w:sz="24" w:space="8" w:color="4F81BD" w:themeColor="accent1"/>
          <w:bottom w:val="single" w:sz="24" w:space="8" w:color="4F81BD" w:themeColor="accent1"/>
        </w:pBdr>
        <w:jc w:val="center"/>
        <w:rPr>
          <w:b/>
          <w:i/>
          <w:iCs/>
          <w:sz w:val="32"/>
          <w:szCs w:val="32"/>
        </w:rPr>
      </w:pPr>
      <w:bookmarkStart w:id="0" w:name="_GoBack"/>
      <w:bookmarkEnd w:id="0"/>
      <w:r w:rsidRPr="00FE1403">
        <w:rPr>
          <w:b/>
          <w:i/>
          <w:iCs/>
          <w:sz w:val="32"/>
          <w:szCs w:val="32"/>
        </w:rPr>
        <w:t>New Opportunities</w:t>
      </w:r>
      <w:r w:rsidR="00FE1403">
        <w:rPr>
          <w:b/>
          <w:i/>
          <w:iCs/>
          <w:sz w:val="32"/>
          <w:szCs w:val="32"/>
        </w:rPr>
        <w:t>:</w:t>
      </w:r>
      <w:r w:rsidRPr="00FE1403">
        <w:rPr>
          <w:b/>
          <w:i/>
          <w:iCs/>
          <w:sz w:val="32"/>
          <w:szCs w:val="32"/>
        </w:rPr>
        <w:t xml:space="preserve"> the Frimley Integrated Care System</w:t>
      </w:r>
      <w:r w:rsidR="00FE1403" w:rsidRPr="00FE1403">
        <w:rPr>
          <w:b/>
          <w:i/>
          <w:iCs/>
          <w:sz w:val="32"/>
          <w:szCs w:val="32"/>
        </w:rPr>
        <w:t>/Network Plans</w:t>
      </w:r>
    </w:p>
    <w:p w14:paraId="1D6CD511" w14:textId="77777777" w:rsidR="00E77F70" w:rsidRDefault="00E77F70" w:rsidP="00EC63F5">
      <w:pPr>
        <w:jc w:val="center"/>
        <w:rPr>
          <w:rFonts w:ascii="Calibri" w:eastAsia="Calibri" w:hAnsi="Calibri" w:cs="Times New Roman"/>
          <w:b/>
          <w:sz w:val="28"/>
          <w:szCs w:val="28"/>
        </w:rPr>
      </w:pPr>
    </w:p>
    <w:p w14:paraId="11D76266" w14:textId="626A2726" w:rsidR="00EC63F5" w:rsidRDefault="00EC63F5" w:rsidP="00EC63F5">
      <w:pPr>
        <w:jc w:val="center"/>
        <w:rPr>
          <w:rFonts w:ascii="Calibri" w:eastAsia="Calibri" w:hAnsi="Calibri" w:cs="Times New Roman"/>
          <w:b/>
          <w:sz w:val="28"/>
          <w:szCs w:val="28"/>
        </w:rPr>
      </w:pPr>
      <w:r>
        <w:rPr>
          <w:rFonts w:ascii="Calibri" w:eastAsia="Calibri" w:hAnsi="Calibri" w:cs="Times New Roman"/>
          <w:b/>
          <w:noProof/>
          <w:sz w:val="28"/>
          <w:szCs w:val="28"/>
          <w:lang w:eastAsia="en-GB"/>
        </w:rPr>
        <w:drawing>
          <wp:inline distT="0" distB="0" distL="0" distR="0" wp14:anchorId="5EC93398" wp14:editId="467E38EE">
            <wp:extent cx="2078895" cy="1558221"/>
            <wp:effectExtent l="0" t="0" r="0" b="4445"/>
            <wp:docPr id="1" name="Picture 1" descr="The area from Slough in the North to Farnham in the south is covered by the Frimley 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mleyICS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697" cy="1605294"/>
                    </a:xfrm>
                    <a:prstGeom prst="rect">
                      <a:avLst/>
                    </a:prstGeom>
                  </pic:spPr>
                </pic:pic>
              </a:graphicData>
            </a:graphic>
          </wp:inline>
        </w:drawing>
      </w:r>
    </w:p>
    <w:p w14:paraId="623476CB" w14:textId="77777777" w:rsidR="009351CC" w:rsidRDefault="009351CC" w:rsidP="00446C7A">
      <w:pPr>
        <w:rPr>
          <w:rFonts w:ascii="Calibri" w:eastAsia="Calibri" w:hAnsi="Calibri" w:cs="Times New Roman"/>
          <w:b/>
          <w:sz w:val="28"/>
          <w:szCs w:val="28"/>
        </w:rPr>
      </w:pPr>
    </w:p>
    <w:p w14:paraId="59F16FF4" w14:textId="7F8EEF65" w:rsidR="00E8381E" w:rsidRDefault="009351CC" w:rsidP="00C716B8">
      <w:pPr>
        <w:jc w:val="center"/>
        <w:rPr>
          <w:rFonts w:ascii="Calibri" w:eastAsia="Calibri" w:hAnsi="Calibri" w:cs="Times New Roman"/>
          <w:b/>
        </w:rPr>
      </w:pPr>
      <w:r w:rsidRPr="00C716B8">
        <w:rPr>
          <w:rFonts w:ascii="Calibri" w:eastAsia="Calibri" w:hAnsi="Calibri" w:cs="Times New Roman"/>
          <w:b/>
        </w:rPr>
        <w:t xml:space="preserve">This autumn we </w:t>
      </w:r>
      <w:r w:rsidR="00785900">
        <w:rPr>
          <w:rFonts w:ascii="Calibri" w:eastAsia="Calibri" w:hAnsi="Calibri" w:cs="Times New Roman"/>
          <w:b/>
        </w:rPr>
        <w:t>will</w:t>
      </w:r>
      <w:r w:rsidRPr="00C716B8">
        <w:rPr>
          <w:rFonts w:ascii="Calibri" w:eastAsia="Calibri" w:hAnsi="Calibri" w:cs="Times New Roman"/>
          <w:b/>
        </w:rPr>
        <w:t xml:space="preserve"> see important developments for local General Practice </w:t>
      </w:r>
      <w:r w:rsidR="00CE5870" w:rsidRPr="00C716B8">
        <w:rPr>
          <w:rFonts w:ascii="Calibri" w:eastAsia="Calibri" w:hAnsi="Calibri" w:cs="Times New Roman"/>
          <w:b/>
        </w:rPr>
        <w:t>as the Frimley Integrated Care System progresses.</w:t>
      </w:r>
      <w:r w:rsidR="006E17D9">
        <w:rPr>
          <w:rFonts w:ascii="Calibri" w:eastAsia="Calibri" w:hAnsi="Calibri" w:cs="Times New Roman"/>
          <w:b/>
        </w:rPr>
        <w:t xml:space="preserve"> </w:t>
      </w:r>
      <w:r w:rsidR="00CE5870" w:rsidRPr="00C716B8">
        <w:rPr>
          <w:rFonts w:ascii="Calibri" w:eastAsia="Calibri" w:hAnsi="Calibri" w:cs="Times New Roman"/>
          <w:b/>
        </w:rPr>
        <w:t>We are presently</w:t>
      </w:r>
      <w:r w:rsidR="00E8381E" w:rsidRPr="00C716B8">
        <w:rPr>
          <w:rFonts w:ascii="Calibri" w:eastAsia="Calibri" w:hAnsi="Calibri" w:cs="Times New Roman"/>
          <w:b/>
        </w:rPr>
        <w:t xml:space="preserve"> attending locality meetings to introduce practices to ICS Network Plans.</w:t>
      </w:r>
      <w:r w:rsidR="006E17D9">
        <w:rPr>
          <w:rFonts w:ascii="Calibri" w:eastAsia="Calibri" w:hAnsi="Calibri" w:cs="Times New Roman"/>
          <w:b/>
        </w:rPr>
        <w:t xml:space="preserve"> T</w:t>
      </w:r>
      <w:r w:rsidR="00E8381E" w:rsidRPr="00C716B8">
        <w:rPr>
          <w:rFonts w:ascii="Calibri" w:eastAsia="Calibri" w:hAnsi="Calibri" w:cs="Times New Roman"/>
          <w:b/>
        </w:rPr>
        <w:t>o reach as many people as possible we thought a newsletter may also be helpful.</w:t>
      </w:r>
    </w:p>
    <w:p w14:paraId="2982EF14" w14:textId="77777777" w:rsidR="00591EEB" w:rsidRPr="00C716B8" w:rsidRDefault="00591EEB" w:rsidP="00C716B8">
      <w:pPr>
        <w:jc w:val="center"/>
        <w:rPr>
          <w:rFonts w:ascii="Calibri" w:eastAsia="Calibri" w:hAnsi="Calibri" w:cs="Times New Roman"/>
          <w:b/>
        </w:rPr>
      </w:pPr>
    </w:p>
    <w:p w14:paraId="574F93B8" w14:textId="765BF439" w:rsidR="00BC6DF9" w:rsidRPr="0099604B" w:rsidRDefault="00BC6DF9" w:rsidP="00BC6DF9">
      <w:pPr>
        <w:pBdr>
          <w:top w:val="single" w:sz="24" w:space="8" w:color="4F81BD" w:themeColor="accent1"/>
          <w:bottom w:val="single" w:sz="24" w:space="8" w:color="4F81BD" w:themeColor="accent1"/>
        </w:pBdr>
        <w:jc w:val="center"/>
        <w:rPr>
          <w:b/>
          <w:i/>
          <w:iCs/>
          <w:color w:val="365F91" w:themeColor="accent1" w:themeShade="BF"/>
          <w:sz w:val="32"/>
          <w:szCs w:val="32"/>
        </w:rPr>
      </w:pPr>
      <w:r>
        <w:rPr>
          <w:b/>
          <w:i/>
          <w:iCs/>
          <w:color w:val="365F91" w:themeColor="accent1" w:themeShade="BF"/>
          <w:sz w:val="32"/>
          <w:szCs w:val="32"/>
        </w:rPr>
        <w:t>What is Integrated Care?</w:t>
      </w:r>
    </w:p>
    <w:p w14:paraId="285879E3" w14:textId="77777777" w:rsidR="00446C7A" w:rsidRPr="00446C7A" w:rsidRDefault="00446C7A" w:rsidP="00446C7A">
      <w:pPr>
        <w:rPr>
          <w:rFonts w:ascii="Calibri" w:eastAsia="Calibri" w:hAnsi="Calibri" w:cs="Times New Roman"/>
        </w:rPr>
      </w:pPr>
    </w:p>
    <w:p w14:paraId="6548C631" w14:textId="77777777" w:rsidR="00446C7A" w:rsidRDefault="00446C7A" w:rsidP="00446C7A">
      <w:pPr>
        <w:rPr>
          <w:rFonts w:ascii="Calibri" w:eastAsia="Calibri" w:hAnsi="Calibri" w:cs="Times New Roman"/>
        </w:rPr>
      </w:pPr>
      <w:r w:rsidRPr="00446C7A">
        <w:rPr>
          <w:rFonts w:ascii="Calibri" w:eastAsia="Calibri" w:hAnsi="Calibri" w:cs="Times New Roman"/>
        </w:rPr>
        <w:t>The NHS is once again being re-organised and Integrated Care des</w:t>
      </w:r>
      <w:r>
        <w:rPr>
          <w:rFonts w:ascii="Calibri" w:eastAsia="Calibri" w:hAnsi="Calibri" w:cs="Times New Roman"/>
        </w:rPr>
        <w:t xml:space="preserve">cribes NHS provider organisations working together to provide patient care. The ambition is to move away from a system organised via contracts between commissioners and providers to a </w:t>
      </w:r>
      <w:r w:rsidRPr="00E97AD3">
        <w:rPr>
          <w:rFonts w:ascii="Calibri" w:eastAsia="Calibri" w:hAnsi="Calibri" w:cs="Times New Roman"/>
          <w:b/>
        </w:rPr>
        <w:t>group of providers being given a budget to deliver outcomes for a local population</w:t>
      </w:r>
      <w:r>
        <w:rPr>
          <w:rFonts w:ascii="Calibri" w:eastAsia="Calibri" w:hAnsi="Calibri" w:cs="Times New Roman"/>
        </w:rPr>
        <w:t xml:space="preserve">. </w:t>
      </w:r>
    </w:p>
    <w:p w14:paraId="33E82E07" w14:textId="77777777" w:rsidR="00446C7A" w:rsidRDefault="00446C7A" w:rsidP="00446C7A">
      <w:pPr>
        <w:rPr>
          <w:rFonts w:ascii="Calibri" w:eastAsia="Calibri" w:hAnsi="Calibri" w:cs="Times New Roman"/>
        </w:rPr>
      </w:pPr>
    </w:p>
    <w:p w14:paraId="6D3A8F6B" w14:textId="23688C32" w:rsidR="00446C7A" w:rsidRDefault="00446C7A" w:rsidP="00446C7A">
      <w:pPr>
        <w:rPr>
          <w:rFonts w:ascii="Calibri" w:eastAsia="Calibri" w:hAnsi="Calibri" w:cs="Times New Roman"/>
        </w:rPr>
      </w:pPr>
      <w:r>
        <w:rPr>
          <w:rFonts w:ascii="Calibri" w:eastAsia="Calibri" w:hAnsi="Calibri" w:cs="Times New Roman"/>
        </w:rPr>
        <w:t>The Frimley STP area (</w:t>
      </w:r>
      <w:r w:rsidR="00A27E53">
        <w:rPr>
          <w:rFonts w:ascii="Calibri" w:eastAsia="Calibri" w:hAnsi="Calibri" w:cs="Times New Roman"/>
        </w:rPr>
        <w:t>shown above</w:t>
      </w:r>
      <w:r w:rsidR="00006075">
        <w:rPr>
          <w:rFonts w:ascii="Calibri" w:eastAsia="Calibri" w:hAnsi="Calibri" w:cs="Times New Roman"/>
        </w:rPr>
        <w:t>)</w:t>
      </w:r>
      <w:r>
        <w:rPr>
          <w:rFonts w:ascii="Calibri" w:eastAsia="Calibri" w:hAnsi="Calibri" w:cs="Times New Roman"/>
        </w:rPr>
        <w:t xml:space="preserve"> is one of eight pilot </w:t>
      </w:r>
      <w:r w:rsidR="00006075">
        <w:rPr>
          <w:rFonts w:ascii="Calibri" w:eastAsia="Calibri" w:hAnsi="Calibri" w:cs="Times New Roman"/>
        </w:rPr>
        <w:t xml:space="preserve">Integrated Care Systems nationally. </w:t>
      </w:r>
    </w:p>
    <w:p w14:paraId="7A9CE3A5" w14:textId="77777777" w:rsidR="00446C7A" w:rsidRDefault="00446C7A" w:rsidP="00446C7A">
      <w:pPr>
        <w:rPr>
          <w:rFonts w:ascii="Calibri" w:eastAsia="Calibri" w:hAnsi="Calibri" w:cs="Times New Roman"/>
        </w:rPr>
      </w:pPr>
    </w:p>
    <w:p w14:paraId="70F1806F" w14:textId="77777777" w:rsidR="00410274" w:rsidRDefault="00410274" w:rsidP="00410274">
      <w:pPr>
        <w:rPr>
          <w:rFonts w:ascii="Calibri" w:eastAsia="Calibri" w:hAnsi="Calibri" w:cs="Times New Roman"/>
          <w:b/>
        </w:rPr>
      </w:pPr>
      <w:r>
        <w:rPr>
          <w:rFonts w:ascii="Calibri" w:eastAsia="Calibri" w:hAnsi="Calibri" w:cs="Times New Roman"/>
          <w:b/>
        </w:rPr>
        <w:t>Why is it important that local General Practice is represented?</w:t>
      </w:r>
    </w:p>
    <w:p w14:paraId="54BDBED3" w14:textId="77777777" w:rsidR="00410274" w:rsidRDefault="00410274" w:rsidP="00446C7A">
      <w:pPr>
        <w:rPr>
          <w:rFonts w:ascii="Calibri" w:eastAsia="Calibri" w:hAnsi="Calibri" w:cs="Times New Roman"/>
        </w:rPr>
      </w:pPr>
    </w:p>
    <w:p w14:paraId="42F127B5" w14:textId="23D68939" w:rsidR="00E8516D" w:rsidRDefault="00446C7A" w:rsidP="00446C7A">
      <w:pPr>
        <w:rPr>
          <w:rFonts w:ascii="Calibri" w:eastAsia="Calibri" w:hAnsi="Calibri" w:cs="Times New Roman"/>
        </w:rPr>
      </w:pPr>
      <w:r>
        <w:rPr>
          <w:rFonts w:ascii="Calibri" w:eastAsia="Calibri" w:hAnsi="Calibri" w:cs="Times New Roman"/>
        </w:rPr>
        <w:t>With Integrated Care</w:t>
      </w:r>
      <w:r w:rsidR="00996E4D">
        <w:rPr>
          <w:rFonts w:ascii="Calibri" w:eastAsia="Calibri" w:hAnsi="Calibri" w:cs="Times New Roman"/>
        </w:rPr>
        <w:t>,</w:t>
      </w:r>
      <w:r>
        <w:rPr>
          <w:rFonts w:ascii="Calibri" w:eastAsia="Calibri" w:hAnsi="Calibri" w:cs="Times New Roman"/>
        </w:rPr>
        <w:t xml:space="preserve"> practices will be encouraged to work at scale with th</w:t>
      </w:r>
      <w:r w:rsidR="00E8381E">
        <w:rPr>
          <w:rFonts w:ascii="Calibri" w:eastAsia="Calibri" w:hAnsi="Calibri" w:cs="Times New Roman"/>
        </w:rPr>
        <w:t>e other provider organisations</w:t>
      </w:r>
      <w:r w:rsidR="00CA1203">
        <w:rPr>
          <w:rFonts w:ascii="Calibri" w:eastAsia="Calibri" w:hAnsi="Calibri" w:cs="Times New Roman"/>
        </w:rPr>
        <w:t xml:space="preserve"> and commissioners</w:t>
      </w:r>
      <w:r w:rsidR="00E8381E">
        <w:rPr>
          <w:rFonts w:ascii="Calibri" w:eastAsia="Calibri" w:hAnsi="Calibri" w:cs="Times New Roman"/>
        </w:rPr>
        <w:t xml:space="preserve"> </w:t>
      </w:r>
      <w:r w:rsidR="00CA1203">
        <w:rPr>
          <w:rFonts w:ascii="Calibri" w:eastAsia="Calibri" w:hAnsi="Calibri" w:cs="Times New Roman"/>
        </w:rPr>
        <w:t xml:space="preserve">- CCG’s, </w:t>
      </w:r>
      <w:r>
        <w:rPr>
          <w:rFonts w:ascii="Calibri" w:eastAsia="Calibri" w:hAnsi="Calibri" w:cs="Times New Roman"/>
        </w:rPr>
        <w:t>community providers, mental health, social care, voluntary organisations and our local acute hospital. It will change the way that practice</w:t>
      </w:r>
      <w:r w:rsidR="00006075">
        <w:rPr>
          <w:rFonts w:ascii="Calibri" w:eastAsia="Calibri" w:hAnsi="Calibri" w:cs="Times New Roman"/>
        </w:rPr>
        <w:t xml:space="preserve">s receive some of their funding. The core contract will continue to be negotiated nationally and paid direct to practices, but other income such as enhanced services </w:t>
      </w:r>
      <w:r w:rsidR="00CA1203">
        <w:rPr>
          <w:rFonts w:ascii="Calibri" w:eastAsia="Calibri" w:hAnsi="Calibri" w:cs="Times New Roman"/>
        </w:rPr>
        <w:t>may</w:t>
      </w:r>
      <w:r w:rsidR="00006075">
        <w:rPr>
          <w:rFonts w:ascii="Calibri" w:eastAsia="Calibri" w:hAnsi="Calibri" w:cs="Times New Roman"/>
        </w:rPr>
        <w:t xml:space="preserve"> ultimately come via the new Integrated Care System.  </w:t>
      </w:r>
    </w:p>
    <w:p w14:paraId="388D16E2" w14:textId="77777777" w:rsidR="00446C7A" w:rsidRDefault="00006075" w:rsidP="00446C7A">
      <w:pPr>
        <w:rPr>
          <w:rFonts w:ascii="Calibri" w:eastAsia="Calibri" w:hAnsi="Calibri" w:cs="Times New Roman"/>
        </w:rPr>
      </w:pPr>
      <w:r>
        <w:rPr>
          <w:rFonts w:ascii="Calibri" w:eastAsia="Calibri" w:hAnsi="Calibri" w:cs="Times New Roman"/>
        </w:rPr>
        <w:t xml:space="preserve">New money coming into general practice is likely to come via this route and will be to support </w:t>
      </w:r>
      <w:r w:rsidRPr="00B7011D">
        <w:rPr>
          <w:rFonts w:ascii="Calibri" w:eastAsia="Calibri" w:hAnsi="Calibri" w:cs="Times New Roman"/>
          <w:b/>
        </w:rPr>
        <w:t>transformation</w:t>
      </w:r>
      <w:r>
        <w:rPr>
          <w:rFonts w:ascii="Calibri" w:eastAsia="Calibri" w:hAnsi="Calibri" w:cs="Times New Roman"/>
        </w:rPr>
        <w:t xml:space="preserve"> and </w:t>
      </w:r>
      <w:r w:rsidRPr="00B7011D">
        <w:rPr>
          <w:rFonts w:ascii="Calibri" w:eastAsia="Calibri" w:hAnsi="Calibri" w:cs="Times New Roman"/>
          <w:b/>
        </w:rPr>
        <w:t>working at scale</w:t>
      </w:r>
      <w:r>
        <w:rPr>
          <w:rFonts w:ascii="Calibri" w:eastAsia="Calibri" w:hAnsi="Calibri" w:cs="Times New Roman"/>
        </w:rPr>
        <w:t>.</w:t>
      </w:r>
    </w:p>
    <w:p w14:paraId="17B3A48F" w14:textId="77777777" w:rsidR="00006075" w:rsidRDefault="00006075" w:rsidP="00446C7A">
      <w:pPr>
        <w:rPr>
          <w:rFonts w:ascii="Calibri" w:eastAsia="Calibri" w:hAnsi="Calibri" w:cs="Times New Roman"/>
        </w:rPr>
      </w:pPr>
    </w:p>
    <w:p w14:paraId="774E6243" w14:textId="5DC258B5" w:rsidR="00006075" w:rsidRPr="00006075" w:rsidRDefault="00006075" w:rsidP="00446C7A">
      <w:pPr>
        <w:rPr>
          <w:rFonts w:ascii="Calibri" w:eastAsia="Calibri" w:hAnsi="Calibri" w:cs="Times New Roman"/>
        </w:rPr>
      </w:pPr>
      <w:r>
        <w:rPr>
          <w:rFonts w:ascii="Calibri" w:eastAsia="Calibri" w:hAnsi="Calibri" w:cs="Times New Roman"/>
        </w:rPr>
        <w:t xml:space="preserve">There is at present no local blueprint for what a local Integrated Care System will look like. </w:t>
      </w:r>
      <w:r w:rsidR="002248CC">
        <w:rPr>
          <w:rFonts w:ascii="Calibri" w:eastAsia="Calibri" w:hAnsi="Calibri" w:cs="Times New Roman"/>
        </w:rPr>
        <w:t>Unlike when the CCG’s formed</w:t>
      </w:r>
      <w:r w:rsidR="00B66E92">
        <w:rPr>
          <w:rFonts w:ascii="Calibri" w:eastAsia="Calibri" w:hAnsi="Calibri" w:cs="Times New Roman"/>
        </w:rPr>
        <w:t>,</w:t>
      </w:r>
      <w:r w:rsidR="002248CC">
        <w:rPr>
          <w:rFonts w:ascii="Calibri" w:eastAsia="Calibri" w:hAnsi="Calibri" w:cs="Times New Roman"/>
        </w:rPr>
        <w:t xml:space="preserve"> setting up Integrated Care Systems</w:t>
      </w:r>
      <w:r w:rsidR="00BC0695">
        <w:rPr>
          <w:rFonts w:ascii="Calibri" w:eastAsia="Calibri" w:hAnsi="Calibri" w:cs="Times New Roman"/>
        </w:rPr>
        <w:t xml:space="preserve"> (ICS’s)</w:t>
      </w:r>
      <w:r w:rsidR="002248CC">
        <w:rPr>
          <w:rFonts w:ascii="Calibri" w:eastAsia="Calibri" w:hAnsi="Calibri" w:cs="Times New Roman"/>
        </w:rPr>
        <w:t xml:space="preserve"> is not enshrined in legislation. General practice as the provider of by far the largest number of patient contacts must </w:t>
      </w:r>
      <w:r w:rsidR="00BC0695">
        <w:rPr>
          <w:rFonts w:ascii="Calibri" w:eastAsia="Calibri" w:hAnsi="Calibri" w:cs="Times New Roman"/>
        </w:rPr>
        <w:t xml:space="preserve">have </w:t>
      </w:r>
      <w:r w:rsidR="002248CC">
        <w:rPr>
          <w:rFonts w:ascii="Calibri" w:eastAsia="Calibri" w:hAnsi="Calibri" w:cs="Times New Roman"/>
        </w:rPr>
        <w:t xml:space="preserve">a voice in determining what the local integrated care system will look like.  </w:t>
      </w:r>
      <w:r w:rsidR="007D34C6">
        <w:rPr>
          <w:rFonts w:ascii="Calibri" w:eastAsia="Calibri" w:hAnsi="Calibri" w:cs="Times New Roman"/>
        </w:rPr>
        <w:t>Without representation</w:t>
      </w:r>
      <w:r w:rsidR="00210C3C">
        <w:rPr>
          <w:rFonts w:ascii="Calibri" w:eastAsia="Calibri" w:hAnsi="Calibri" w:cs="Times New Roman"/>
        </w:rPr>
        <w:t>,</w:t>
      </w:r>
      <w:r w:rsidR="002248CC">
        <w:rPr>
          <w:rFonts w:ascii="Calibri" w:eastAsia="Calibri" w:hAnsi="Calibri" w:cs="Times New Roman"/>
        </w:rPr>
        <w:t xml:space="preserve"> local acute hospitals, community trusts and other larger provider organisations will have the greatest influence on how care is organised and how local funds are allocated between providers.</w:t>
      </w:r>
    </w:p>
    <w:p w14:paraId="151CA1D9" w14:textId="77777777" w:rsidR="00006075" w:rsidRDefault="00006075" w:rsidP="00446C7A">
      <w:pPr>
        <w:rPr>
          <w:rFonts w:ascii="Calibri" w:eastAsia="Calibri" w:hAnsi="Calibri" w:cs="Times New Roman"/>
          <w:b/>
        </w:rPr>
      </w:pPr>
    </w:p>
    <w:p w14:paraId="0679BEE7" w14:textId="77777777" w:rsidR="00006075" w:rsidRDefault="00BC0695" w:rsidP="00446C7A">
      <w:pPr>
        <w:rPr>
          <w:rFonts w:ascii="Calibri" w:eastAsia="Calibri" w:hAnsi="Calibri" w:cs="Times New Roman"/>
          <w:b/>
        </w:rPr>
      </w:pPr>
      <w:r>
        <w:rPr>
          <w:rFonts w:ascii="Calibri" w:eastAsia="Calibri" w:hAnsi="Calibri" w:cs="Times New Roman"/>
          <w:b/>
        </w:rPr>
        <w:t>Who represents your practice in Integrated Care?</w:t>
      </w:r>
    </w:p>
    <w:p w14:paraId="079D58D2" w14:textId="77777777" w:rsidR="00BC0695" w:rsidRDefault="00BC0695" w:rsidP="00446C7A">
      <w:pPr>
        <w:rPr>
          <w:rFonts w:ascii="Calibri" w:eastAsia="Calibri" w:hAnsi="Calibri" w:cs="Times New Roman"/>
          <w:b/>
        </w:rPr>
      </w:pPr>
    </w:p>
    <w:p w14:paraId="3A652CE8" w14:textId="13F89610" w:rsidR="003451DE" w:rsidRDefault="003451DE" w:rsidP="00446C7A">
      <w:pPr>
        <w:rPr>
          <w:rFonts w:ascii="Calibri" w:eastAsia="Calibri" w:hAnsi="Calibri" w:cs="Times New Roman"/>
        </w:rPr>
      </w:pPr>
      <w:r>
        <w:rPr>
          <w:rFonts w:ascii="Calibri" w:eastAsia="Calibri" w:hAnsi="Calibri" w:cs="Times New Roman"/>
        </w:rPr>
        <w:t>T</w:t>
      </w:r>
      <w:r w:rsidR="00E8381E">
        <w:rPr>
          <w:rFonts w:ascii="Calibri" w:eastAsia="Calibri" w:hAnsi="Calibri" w:cs="Times New Roman"/>
        </w:rPr>
        <w:t>here are now three provider GPs from local GP Federations</w:t>
      </w:r>
      <w:r w:rsidR="00E8516D">
        <w:rPr>
          <w:rFonts w:ascii="Calibri" w:eastAsia="Calibri" w:hAnsi="Calibri" w:cs="Times New Roman"/>
        </w:rPr>
        <w:t xml:space="preserve"> on the ICS board and Salus has a seat at the ICS table, unashamedly on the side of local </w:t>
      </w:r>
      <w:r w:rsidR="005154C9">
        <w:rPr>
          <w:rFonts w:ascii="Calibri" w:eastAsia="Calibri" w:hAnsi="Calibri" w:cs="Times New Roman"/>
        </w:rPr>
        <w:t>g</w:t>
      </w:r>
      <w:r w:rsidR="00E8516D">
        <w:rPr>
          <w:rFonts w:ascii="Calibri" w:eastAsia="Calibri" w:hAnsi="Calibri" w:cs="Times New Roman"/>
        </w:rPr>
        <w:t xml:space="preserve">eneral </w:t>
      </w:r>
      <w:r w:rsidR="005154C9">
        <w:rPr>
          <w:rFonts w:ascii="Calibri" w:eastAsia="Calibri" w:hAnsi="Calibri" w:cs="Times New Roman"/>
        </w:rPr>
        <w:t>p</w:t>
      </w:r>
      <w:r w:rsidR="00E8516D">
        <w:rPr>
          <w:rFonts w:ascii="Calibri" w:eastAsia="Calibri" w:hAnsi="Calibri" w:cs="Times New Roman"/>
        </w:rPr>
        <w:t>ractice.</w:t>
      </w:r>
      <w:r w:rsidR="005154C9">
        <w:rPr>
          <w:rFonts w:ascii="Calibri" w:eastAsia="Calibri" w:hAnsi="Calibri" w:cs="Times New Roman"/>
        </w:rPr>
        <w:t xml:space="preserve">  This maybe the best opportunity we have had for general practice to be involved in shaping the future.</w:t>
      </w:r>
    </w:p>
    <w:p w14:paraId="4DA385A1" w14:textId="431BC782" w:rsidR="00F72DD0" w:rsidRPr="0099604B" w:rsidRDefault="00F72DD0" w:rsidP="00F72DD0">
      <w:pPr>
        <w:pBdr>
          <w:top w:val="single" w:sz="24" w:space="8" w:color="4F81BD" w:themeColor="accent1"/>
          <w:bottom w:val="single" w:sz="24" w:space="8" w:color="4F81BD" w:themeColor="accent1"/>
        </w:pBdr>
        <w:jc w:val="center"/>
        <w:rPr>
          <w:b/>
          <w:i/>
          <w:iCs/>
          <w:color w:val="365F91" w:themeColor="accent1" w:themeShade="BF"/>
          <w:sz w:val="32"/>
          <w:szCs w:val="32"/>
        </w:rPr>
      </w:pPr>
      <w:r>
        <w:rPr>
          <w:b/>
          <w:i/>
          <w:iCs/>
          <w:color w:val="365F91" w:themeColor="accent1" w:themeShade="BF"/>
          <w:sz w:val="32"/>
          <w:szCs w:val="32"/>
        </w:rPr>
        <w:lastRenderedPageBreak/>
        <w:t>What is a Primary Care Network?</w:t>
      </w:r>
    </w:p>
    <w:p w14:paraId="473BA3C9" w14:textId="77777777" w:rsidR="00AF2CDA" w:rsidRDefault="00AF2CDA" w:rsidP="00446C7A">
      <w:pPr>
        <w:rPr>
          <w:rFonts w:ascii="Calibri" w:eastAsia="Calibri" w:hAnsi="Calibri" w:cs="Times New Roman"/>
          <w:b/>
        </w:rPr>
      </w:pPr>
    </w:p>
    <w:p w14:paraId="56072D03" w14:textId="3465002D" w:rsidR="00AF2CDA" w:rsidRDefault="00AF2CDA" w:rsidP="00446C7A">
      <w:pPr>
        <w:rPr>
          <w:rFonts w:ascii="Calibri" w:eastAsia="Calibri" w:hAnsi="Calibri" w:cs="Times New Roman"/>
        </w:rPr>
      </w:pPr>
      <w:r>
        <w:rPr>
          <w:rFonts w:ascii="Calibri" w:eastAsia="Calibri" w:hAnsi="Calibri" w:cs="Times New Roman"/>
        </w:rPr>
        <w:t xml:space="preserve">There is a national drive to create Primary Care Networks in England ideally a Network should cover 30,000 to 50,000 patients. A Network can mean be a Super Practice, a large merged practice, practices working together via a Federation or just practices in a locality agreeing to work collaboratively. </w:t>
      </w:r>
    </w:p>
    <w:p w14:paraId="6C56A181" w14:textId="52A1D0D7" w:rsidR="00AF2CDA" w:rsidRDefault="00AF2CDA" w:rsidP="00446C7A">
      <w:pPr>
        <w:rPr>
          <w:rFonts w:ascii="Calibri" w:eastAsia="Calibri" w:hAnsi="Calibri" w:cs="Times New Roman"/>
        </w:rPr>
      </w:pPr>
      <w:r>
        <w:rPr>
          <w:rFonts w:ascii="Calibri" w:eastAsia="Calibri" w:hAnsi="Calibri" w:cs="Times New Roman"/>
        </w:rPr>
        <w:t>In North East Hampshire and Farnham it has been agreed that we should continue working via the five Localities that delivered our local Vanguard program</w:t>
      </w:r>
      <w:r w:rsidR="00530F74">
        <w:rPr>
          <w:rFonts w:ascii="Calibri" w:eastAsia="Calibri" w:hAnsi="Calibri" w:cs="Times New Roman"/>
        </w:rPr>
        <w:t>,</w:t>
      </w:r>
      <w:r>
        <w:rPr>
          <w:rFonts w:ascii="Calibri" w:eastAsia="Calibri" w:hAnsi="Calibri" w:cs="Times New Roman"/>
        </w:rPr>
        <w:t xml:space="preserve"> so In NEHF a Network is synonymous with our localities </w:t>
      </w:r>
      <w:r w:rsidR="002E40C4">
        <w:rPr>
          <w:rFonts w:ascii="Calibri" w:eastAsia="Calibri" w:hAnsi="Calibri" w:cs="Times New Roman"/>
        </w:rPr>
        <w:t>(</w:t>
      </w:r>
      <w:r>
        <w:rPr>
          <w:rFonts w:ascii="Calibri" w:eastAsia="Calibri" w:hAnsi="Calibri" w:cs="Times New Roman"/>
        </w:rPr>
        <w:t>but this is not the case with the other ICS Networks</w:t>
      </w:r>
      <w:r w:rsidR="002E40C4">
        <w:rPr>
          <w:rFonts w:ascii="Calibri" w:eastAsia="Calibri" w:hAnsi="Calibri" w:cs="Times New Roman"/>
        </w:rPr>
        <w:t>)</w:t>
      </w:r>
      <w:r>
        <w:rPr>
          <w:rFonts w:ascii="Calibri" w:eastAsia="Calibri" w:hAnsi="Calibri" w:cs="Times New Roman"/>
        </w:rPr>
        <w:t>.</w:t>
      </w:r>
    </w:p>
    <w:p w14:paraId="527ED4C3" w14:textId="77777777" w:rsidR="00AF2CDA" w:rsidRDefault="00AF2CDA" w:rsidP="00446C7A">
      <w:pPr>
        <w:rPr>
          <w:rFonts w:ascii="Calibri" w:eastAsia="Calibri" w:hAnsi="Calibri" w:cs="Times New Roman"/>
        </w:rPr>
      </w:pPr>
    </w:p>
    <w:p w14:paraId="66B52344" w14:textId="6CE1C005" w:rsidR="00AF2CDA" w:rsidRPr="00AF2CDA" w:rsidRDefault="00CA1203" w:rsidP="00446C7A">
      <w:pPr>
        <w:rPr>
          <w:rFonts w:ascii="Calibri" w:eastAsia="Calibri" w:hAnsi="Calibri" w:cs="Times New Roman"/>
        </w:rPr>
      </w:pPr>
      <w:r>
        <w:rPr>
          <w:rFonts w:ascii="Calibri" w:eastAsia="Calibri" w:hAnsi="Calibri" w:cs="Times New Roman"/>
        </w:rPr>
        <w:t>There are now ten</w:t>
      </w:r>
      <w:r w:rsidR="00AF2CDA" w:rsidRPr="00AF2CDA">
        <w:rPr>
          <w:rFonts w:ascii="Calibri" w:eastAsia="Calibri" w:hAnsi="Calibri" w:cs="Times New Roman"/>
        </w:rPr>
        <w:t xml:space="preserve"> networks covering 100% of the population of Frimley Integrated Care System. These are: </w:t>
      </w:r>
      <w:r w:rsidR="00AF2CDA" w:rsidRPr="00AF2CDA">
        <w:rPr>
          <w:rFonts w:ascii="Calibri" w:eastAsia="Calibri" w:hAnsi="Calibri" w:cs="Times New Roman"/>
          <w:b/>
          <w:bCs/>
        </w:rPr>
        <w:t>Aldershot</w:t>
      </w:r>
      <w:r w:rsidR="00AF2CDA" w:rsidRPr="00AF2CDA">
        <w:rPr>
          <w:rFonts w:ascii="Calibri" w:eastAsia="Calibri" w:hAnsi="Calibri" w:cs="Times New Roman"/>
        </w:rPr>
        <w:t>, Bracknell and Ascot</w:t>
      </w:r>
      <w:r w:rsidR="00AF2CDA" w:rsidRPr="003451DE">
        <w:rPr>
          <w:rFonts w:ascii="Calibri" w:eastAsia="Calibri" w:hAnsi="Calibri" w:cs="Times New Roman"/>
          <w:b/>
        </w:rPr>
        <w:t>, Farnborough</w:t>
      </w:r>
      <w:r w:rsidR="00AF2CDA" w:rsidRPr="00AF2CDA">
        <w:rPr>
          <w:rFonts w:ascii="Calibri" w:eastAsia="Calibri" w:hAnsi="Calibri" w:cs="Times New Roman"/>
        </w:rPr>
        <w:t xml:space="preserve">, </w:t>
      </w:r>
      <w:r w:rsidR="00AF2CDA" w:rsidRPr="003451DE">
        <w:rPr>
          <w:rFonts w:ascii="Calibri" w:eastAsia="Calibri" w:hAnsi="Calibri" w:cs="Times New Roman"/>
          <w:b/>
        </w:rPr>
        <w:t>Farnham</w:t>
      </w:r>
      <w:r w:rsidR="00AF2CDA" w:rsidRPr="00AF2CDA">
        <w:rPr>
          <w:rFonts w:ascii="Calibri" w:eastAsia="Calibri" w:hAnsi="Calibri" w:cs="Times New Roman"/>
        </w:rPr>
        <w:t xml:space="preserve">, </w:t>
      </w:r>
      <w:r w:rsidR="00AF2CDA" w:rsidRPr="003451DE">
        <w:rPr>
          <w:rFonts w:ascii="Calibri" w:eastAsia="Calibri" w:hAnsi="Calibri" w:cs="Times New Roman"/>
          <w:b/>
        </w:rPr>
        <w:t>Fleet</w:t>
      </w:r>
      <w:r w:rsidR="00AF2CDA" w:rsidRPr="00AF2CDA">
        <w:rPr>
          <w:rFonts w:ascii="Calibri" w:eastAsia="Calibri" w:hAnsi="Calibri" w:cs="Times New Roman"/>
        </w:rPr>
        <w:t>, Slough,</w:t>
      </w:r>
      <w:r>
        <w:rPr>
          <w:rFonts w:ascii="Calibri" w:eastAsia="Calibri" w:hAnsi="Calibri" w:cs="Times New Roman"/>
        </w:rPr>
        <w:t xml:space="preserve"> Slough/SPA,</w:t>
      </w:r>
      <w:r w:rsidR="00AF2CDA" w:rsidRPr="00AF2CDA">
        <w:rPr>
          <w:rFonts w:ascii="Calibri" w:eastAsia="Calibri" w:hAnsi="Calibri" w:cs="Times New Roman"/>
        </w:rPr>
        <w:t xml:space="preserve"> Surrey Heath</w:t>
      </w:r>
      <w:r w:rsidR="00AF2CDA" w:rsidRPr="003451DE">
        <w:rPr>
          <w:rFonts w:ascii="Calibri" w:eastAsia="Calibri" w:hAnsi="Calibri" w:cs="Times New Roman"/>
          <w:b/>
        </w:rPr>
        <w:t>, Yateley</w:t>
      </w:r>
      <w:r w:rsidR="00AF2CDA" w:rsidRPr="00AF2CDA">
        <w:rPr>
          <w:rFonts w:ascii="Calibri" w:eastAsia="Calibri" w:hAnsi="Calibri" w:cs="Times New Roman"/>
        </w:rPr>
        <w:t>, Windsor Ascot &amp; Maidenhead</w:t>
      </w:r>
    </w:p>
    <w:p w14:paraId="4E16CD28" w14:textId="77777777" w:rsidR="00EF1FF8" w:rsidRDefault="00EF1FF8" w:rsidP="00446C7A">
      <w:pPr>
        <w:rPr>
          <w:rFonts w:ascii="Calibri" w:eastAsia="Calibri" w:hAnsi="Calibri" w:cs="Times New Roman"/>
        </w:rPr>
      </w:pPr>
    </w:p>
    <w:p w14:paraId="5BC94F1F" w14:textId="5FCFE355" w:rsidR="00870688" w:rsidRDefault="003451DE">
      <w:pPr>
        <w:spacing w:after="200" w:line="276" w:lineRule="auto"/>
      </w:pPr>
      <w:r>
        <w:t xml:space="preserve">Our </w:t>
      </w:r>
      <w:r w:rsidRPr="002E40C4">
        <w:rPr>
          <w:b/>
        </w:rPr>
        <w:t xml:space="preserve">Network </w:t>
      </w:r>
      <w:r w:rsidR="002E40C4" w:rsidRPr="002E40C4">
        <w:rPr>
          <w:b/>
        </w:rPr>
        <w:t>L</w:t>
      </w:r>
      <w:r w:rsidRPr="002E40C4">
        <w:rPr>
          <w:b/>
        </w:rPr>
        <w:t>eads</w:t>
      </w:r>
      <w:r>
        <w:t xml:space="preserve"> </w:t>
      </w:r>
      <w:r w:rsidR="001B7571">
        <w:t>are</w:t>
      </w:r>
      <w:r>
        <w:t>:</w:t>
      </w:r>
    </w:p>
    <w:tbl>
      <w:tblPr>
        <w:tblStyle w:val="TableGrid"/>
        <w:tblW w:w="0" w:type="auto"/>
        <w:jc w:val="center"/>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431"/>
        <w:gridCol w:w="2431"/>
      </w:tblGrid>
      <w:tr w:rsidR="003451DE" w14:paraId="0B09A460" w14:textId="77777777" w:rsidTr="00B80C39">
        <w:trPr>
          <w:trHeight w:val="363"/>
          <w:jc w:val="center"/>
        </w:trPr>
        <w:tc>
          <w:tcPr>
            <w:tcW w:w="2431" w:type="dxa"/>
          </w:tcPr>
          <w:p w14:paraId="54ED3F10" w14:textId="49FD69DF" w:rsidR="003451DE" w:rsidRPr="00CE5F71" w:rsidRDefault="003451DE" w:rsidP="00B80C39">
            <w:pPr>
              <w:spacing w:after="200" w:line="276" w:lineRule="auto"/>
              <w:jc w:val="center"/>
              <w:rPr>
                <w:b/>
              </w:rPr>
            </w:pPr>
            <w:r w:rsidRPr="00CE5F71">
              <w:rPr>
                <w:b/>
              </w:rPr>
              <w:t>Aldershot</w:t>
            </w:r>
          </w:p>
        </w:tc>
        <w:tc>
          <w:tcPr>
            <w:tcW w:w="2431" w:type="dxa"/>
          </w:tcPr>
          <w:p w14:paraId="2C992ABF" w14:textId="77777777" w:rsidR="003451DE" w:rsidRDefault="003451DE" w:rsidP="00B80C39">
            <w:pPr>
              <w:spacing w:after="200" w:line="276" w:lineRule="auto"/>
              <w:jc w:val="center"/>
            </w:pPr>
            <w:r>
              <w:t>Dr Karen Robinson</w:t>
            </w:r>
          </w:p>
        </w:tc>
      </w:tr>
      <w:tr w:rsidR="003451DE" w14:paraId="4285A5E4" w14:textId="77777777" w:rsidTr="00B80C39">
        <w:trPr>
          <w:trHeight w:val="374"/>
          <w:jc w:val="center"/>
        </w:trPr>
        <w:tc>
          <w:tcPr>
            <w:tcW w:w="2431" w:type="dxa"/>
          </w:tcPr>
          <w:p w14:paraId="0BF3B931" w14:textId="19D35C37" w:rsidR="003451DE" w:rsidRPr="00CE5F71" w:rsidRDefault="003451DE" w:rsidP="00B80C39">
            <w:pPr>
              <w:spacing w:after="200" w:line="276" w:lineRule="auto"/>
              <w:jc w:val="center"/>
              <w:rPr>
                <w:b/>
              </w:rPr>
            </w:pPr>
            <w:r w:rsidRPr="00CE5F71">
              <w:rPr>
                <w:b/>
              </w:rPr>
              <w:t>Farnborough</w:t>
            </w:r>
          </w:p>
        </w:tc>
        <w:tc>
          <w:tcPr>
            <w:tcW w:w="2431" w:type="dxa"/>
          </w:tcPr>
          <w:p w14:paraId="201436C3" w14:textId="6C022538" w:rsidR="003451DE" w:rsidRDefault="003451DE" w:rsidP="002361E7">
            <w:pPr>
              <w:spacing w:after="200" w:line="276" w:lineRule="auto"/>
              <w:jc w:val="center"/>
            </w:pPr>
            <w:r>
              <w:t>Dr Nick Hughe</w:t>
            </w:r>
            <w:r w:rsidR="002361E7">
              <w:t xml:space="preserve">s </w:t>
            </w:r>
            <w:r w:rsidR="00FF5E1C">
              <w:t xml:space="preserve">             </w:t>
            </w:r>
            <w:r>
              <w:t>(ICS Board Rep)</w:t>
            </w:r>
          </w:p>
        </w:tc>
      </w:tr>
      <w:tr w:rsidR="003451DE" w14:paraId="014E81CE" w14:textId="77777777" w:rsidTr="00B80C39">
        <w:trPr>
          <w:trHeight w:val="374"/>
          <w:jc w:val="center"/>
        </w:trPr>
        <w:tc>
          <w:tcPr>
            <w:tcW w:w="2431" w:type="dxa"/>
          </w:tcPr>
          <w:p w14:paraId="1C39E782" w14:textId="5C857967" w:rsidR="003451DE" w:rsidRPr="00CE5F71" w:rsidRDefault="003451DE" w:rsidP="00B80C39">
            <w:pPr>
              <w:spacing w:after="200" w:line="276" w:lineRule="auto"/>
              <w:jc w:val="center"/>
              <w:rPr>
                <w:b/>
              </w:rPr>
            </w:pPr>
            <w:r w:rsidRPr="00CE5F71">
              <w:rPr>
                <w:b/>
              </w:rPr>
              <w:t>Farnham</w:t>
            </w:r>
          </w:p>
        </w:tc>
        <w:tc>
          <w:tcPr>
            <w:tcW w:w="2431" w:type="dxa"/>
          </w:tcPr>
          <w:p w14:paraId="74732B3C" w14:textId="45CA3133" w:rsidR="003451DE" w:rsidRDefault="003451DE" w:rsidP="00FF5E1C">
            <w:pPr>
              <w:spacing w:after="200" w:line="276" w:lineRule="auto"/>
              <w:jc w:val="center"/>
            </w:pPr>
            <w:r>
              <w:t>Dr David Brown</w:t>
            </w:r>
            <w:r w:rsidR="00FF5E1C">
              <w:t xml:space="preserve">      </w:t>
            </w:r>
            <w:r>
              <w:t xml:space="preserve">(work shared with </w:t>
            </w:r>
            <w:r w:rsidR="00FF5E1C">
              <w:t xml:space="preserve">       </w:t>
            </w:r>
            <w:r>
              <w:t>Dr Liz Burren)</w:t>
            </w:r>
          </w:p>
        </w:tc>
      </w:tr>
      <w:tr w:rsidR="003451DE" w14:paraId="01289E77" w14:textId="77777777" w:rsidTr="00B80C39">
        <w:trPr>
          <w:trHeight w:val="363"/>
          <w:jc w:val="center"/>
        </w:trPr>
        <w:tc>
          <w:tcPr>
            <w:tcW w:w="2431" w:type="dxa"/>
          </w:tcPr>
          <w:p w14:paraId="3BD6699E" w14:textId="078F52F1" w:rsidR="003451DE" w:rsidRPr="00CE5F71" w:rsidRDefault="003451DE" w:rsidP="00B80C39">
            <w:pPr>
              <w:spacing w:after="200" w:line="276" w:lineRule="auto"/>
              <w:jc w:val="center"/>
              <w:rPr>
                <w:b/>
              </w:rPr>
            </w:pPr>
            <w:r w:rsidRPr="00CE5F71">
              <w:rPr>
                <w:b/>
              </w:rPr>
              <w:t>Fleet</w:t>
            </w:r>
          </w:p>
        </w:tc>
        <w:tc>
          <w:tcPr>
            <w:tcW w:w="2431" w:type="dxa"/>
          </w:tcPr>
          <w:p w14:paraId="2B9EAB91" w14:textId="0E69B763" w:rsidR="003451DE" w:rsidRDefault="003451DE" w:rsidP="002361E7">
            <w:pPr>
              <w:spacing w:after="200" w:line="276" w:lineRule="auto"/>
              <w:jc w:val="center"/>
            </w:pPr>
            <w:r>
              <w:t xml:space="preserve">Dr Steven Clarke </w:t>
            </w:r>
            <w:r w:rsidR="00FF5E1C">
              <w:t xml:space="preserve">    </w:t>
            </w:r>
            <w:r>
              <w:t xml:space="preserve">(work shared amongst </w:t>
            </w:r>
            <w:r w:rsidR="00FF5E1C">
              <w:t xml:space="preserve">  </w:t>
            </w:r>
            <w:r>
              <w:t>4 Fleet GP’s)</w:t>
            </w:r>
          </w:p>
        </w:tc>
      </w:tr>
      <w:tr w:rsidR="003451DE" w14:paraId="2F3FDFB4" w14:textId="77777777" w:rsidTr="00B80C39">
        <w:trPr>
          <w:trHeight w:val="374"/>
          <w:jc w:val="center"/>
        </w:trPr>
        <w:tc>
          <w:tcPr>
            <w:tcW w:w="2431" w:type="dxa"/>
          </w:tcPr>
          <w:p w14:paraId="0E53E4F8" w14:textId="206D97F5" w:rsidR="003451DE" w:rsidRPr="00CE5F71" w:rsidRDefault="003451DE" w:rsidP="00B80C39">
            <w:pPr>
              <w:spacing w:after="200" w:line="276" w:lineRule="auto"/>
              <w:jc w:val="center"/>
              <w:rPr>
                <w:b/>
              </w:rPr>
            </w:pPr>
            <w:r w:rsidRPr="00CE5F71">
              <w:rPr>
                <w:b/>
              </w:rPr>
              <w:t>Yateley</w:t>
            </w:r>
          </w:p>
        </w:tc>
        <w:tc>
          <w:tcPr>
            <w:tcW w:w="2431" w:type="dxa"/>
          </w:tcPr>
          <w:p w14:paraId="4383B83D" w14:textId="77777777" w:rsidR="003451DE" w:rsidRDefault="003451DE" w:rsidP="00B80C39">
            <w:pPr>
              <w:spacing w:after="200" w:line="276" w:lineRule="auto"/>
              <w:jc w:val="center"/>
            </w:pPr>
            <w:r>
              <w:t>Dr Gareth Robinson</w:t>
            </w:r>
          </w:p>
        </w:tc>
      </w:tr>
    </w:tbl>
    <w:p w14:paraId="4075CEF6" w14:textId="77777777" w:rsidR="003451DE" w:rsidRDefault="003451DE">
      <w:pPr>
        <w:spacing w:after="200" w:line="276" w:lineRule="auto"/>
      </w:pPr>
      <w:r>
        <w:t xml:space="preserve"> </w:t>
      </w:r>
      <w:r>
        <w:tab/>
      </w:r>
    </w:p>
    <w:p w14:paraId="7BF31EEB" w14:textId="77777777" w:rsidR="007755F5" w:rsidRDefault="007755F5">
      <w:pPr>
        <w:spacing w:after="200" w:line="276" w:lineRule="auto"/>
        <w:rPr>
          <w:b/>
        </w:rPr>
        <w:sectPr w:rsidR="007755F5" w:rsidSect="007128C9">
          <w:headerReference w:type="default" r:id="rId9"/>
          <w:footerReference w:type="default" r:id="rId10"/>
          <w:headerReference w:type="first" r:id="rId11"/>
          <w:footerReference w:type="first" r:id="rId12"/>
          <w:pgSz w:w="11906" w:h="16838" w:code="9"/>
          <w:pgMar w:top="1440" w:right="1134" w:bottom="851" w:left="1134" w:header="709" w:footer="567" w:gutter="0"/>
          <w:cols w:space="708"/>
          <w:titlePg/>
          <w:docGrid w:linePitch="360"/>
        </w:sectPr>
      </w:pPr>
    </w:p>
    <w:p w14:paraId="28255F6C" w14:textId="202399F2" w:rsidR="00CB3129" w:rsidRPr="0099604B" w:rsidRDefault="00CB3129" w:rsidP="00CB3129">
      <w:pPr>
        <w:pBdr>
          <w:top w:val="single" w:sz="24" w:space="8" w:color="4F81BD" w:themeColor="accent1"/>
          <w:bottom w:val="single" w:sz="24" w:space="8" w:color="4F81BD" w:themeColor="accent1"/>
        </w:pBdr>
        <w:jc w:val="center"/>
        <w:rPr>
          <w:b/>
          <w:i/>
          <w:iCs/>
          <w:color w:val="365F91" w:themeColor="accent1" w:themeShade="BF"/>
          <w:sz w:val="32"/>
          <w:szCs w:val="32"/>
        </w:rPr>
      </w:pPr>
      <w:r>
        <w:rPr>
          <w:b/>
          <w:i/>
          <w:iCs/>
          <w:color w:val="365F91" w:themeColor="accent1" w:themeShade="BF"/>
          <w:sz w:val="32"/>
          <w:szCs w:val="32"/>
        </w:rPr>
        <w:lastRenderedPageBreak/>
        <w:t>Delivering Primary Care Network Plans</w:t>
      </w:r>
    </w:p>
    <w:p w14:paraId="029193A7" w14:textId="6BD07541" w:rsidR="003451DE" w:rsidRPr="003451DE" w:rsidRDefault="003451DE">
      <w:pPr>
        <w:spacing w:after="200" w:line="276" w:lineRule="auto"/>
        <w:rPr>
          <w:b/>
        </w:rPr>
      </w:pPr>
    </w:p>
    <w:p w14:paraId="25DA30CE" w14:textId="1EA346D1" w:rsidR="008C35C7" w:rsidRDefault="001B7571" w:rsidP="007128C9">
      <w:r>
        <w:t xml:space="preserve">We are being asked to provide a Primary Care Network Plan </w:t>
      </w:r>
      <w:r w:rsidR="00B90906">
        <w:t>for each Network and to have at least an outline plan ready by October 1</w:t>
      </w:r>
      <w:r w:rsidR="00B90906" w:rsidRPr="00B90906">
        <w:rPr>
          <w:vertAlign w:val="superscript"/>
        </w:rPr>
        <w:t>st</w:t>
      </w:r>
      <w:r w:rsidR="00B90906">
        <w:t xml:space="preserve">. </w:t>
      </w:r>
      <w:r w:rsidR="002442FC">
        <w:t xml:space="preserve">This feels a little like being asked to provide Locality Plans for the local Vanguard program. </w:t>
      </w:r>
      <w:r w:rsidR="004436EA">
        <w:t>Back then, a</w:t>
      </w:r>
      <w:r w:rsidR="002442FC">
        <w:t>fter consultation with the localities we wrote the plans and then presented them to the Vanguard Steering Group. However, the preparation of Network Plans will be an evolving process. Once outline plans have been prepared there will be a peer review meeting in October attended by Network leads, Federation leads and ICS staff. Not all our ideas will be supported but hopefully some will</w:t>
      </w:r>
      <w:r w:rsidR="00530F74">
        <w:t>.</w:t>
      </w:r>
      <w:r w:rsidR="002442FC">
        <w:t xml:space="preserve"> </w:t>
      </w:r>
      <w:r w:rsidR="005154C9">
        <w:t>We are told that ‘</w:t>
      </w:r>
      <w:r w:rsidR="002442FC">
        <w:t>Investment into g</w:t>
      </w:r>
      <w:r w:rsidR="005154C9">
        <w:t xml:space="preserve">eneral practice will be aligned to our network plans’. </w:t>
      </w:r>
    </w:p>
    <w:p w14:paraId="3E8F1F16" w14:textId="77777777" w:rsidR="005154C9" w:rsidRDefault="005154C9" w:rsidP="007128C9"/>
    <w:p w14:paraId="13A86E14" w14:textId="77777777" w:rsidR="00FA77EF" w:rsidRDefault="00FA77EF" w:rsidP="007128C9">
      <w:pPr>
        <w:rPr>
          <w:b/>
        </w:rPr>
      </w:pPr>
    </w:p>
    <w:p w14:paraId="01BDAF81" w14:textId="77777777" w:rsidR="005154C9" w:rsidRPr="005154C9" w:rsidRDefault="005154C9" w:rsidP="007128C9">
      <w:pPr>
        <w:rPr>
          <w:b/>
        </w:rPr>
      </w:pPr>
      <w:r w:rsidRPr="005154C9">
        <w:rPr>
          <w:b/>
        </w:rPr>
        <w:t>General Considerations</w:t>
      </w:r>
    </w:p>
    <w:p w14:paraId="65029F3C" w14:textId="77777777" w:rsidR="007128C9" w:rsidRDefault="007128C9" w:rsidP="007128C9"/>
    <w:p w14:paraId="30A3A38E" w14:textId="77777777" w:rsidR="007128C9" w:rsidRDefault="00FB1E1C">
      <w:pPr>
        <w:spacing w:after="200" w:line="276" w:lineRule="auto"/>
      </w:pPr>
      <w:r>
        <w:t>This is not an undercover attempt to load more things onto general practice. We have been involved in this process for some time now</w:t>
      </w:r>
      <w:r w:rsidR="000D1B70">
        <w:t>, we</w:t>
      </w:r>
      <w:r>
        <w:t xml:space="preserve"> have encountered concern for the problems and a genuine desire to help general practice transform. There is a realisation that if general practice collapses so does the </w:t>
      </w:r>
      <w:r w:rsidR="00FA77EF">
        <w:t xml:space="preserve">NHS. </w:t>
      </w:r>
    </w:p>
    <w:p w14:paraId="10C65881" w14:textId="77777777" w:rsidR="00FA77EF" w:rsidRDefault="00FA77EF">
      <w:pPr>
        <w:spacing w:after="200" w:line="276" w:lineRule="auto"/>
      </w:pPr>
      <w:r>
        <w:t>The aim of the plans is to support the sustainability of general practice, make it a better place to work and ensure it has the capacity to offer the services needed to achieve the ICS wide plan. This will involve understanding our local populations, including variation in access and outcomes and the risks to local general practice.</w:t>
      </w:r>
    </w:p>
    <w:p w14:paraId="14881D61" w14:textId="77777777" w:rsidR="00AC7FEA" w:rsidRDefault="00FA77EF">
      <w:pPr>
        <w:spacing w:after="200" w:line="276" w:lineRule="auto"/>
      </w:pPr>
      <w:r>
        <w:t xml:space="preserve">The ICS/national priority areas are </w:t>
      </w:r>
    </w:p>
    <w:p w14:paraId="5B7417B5" w14:textId="0FBE5D37" w:rsidR="00F87254" w:rsidRDefault="00FA77EF" w:rsidP="00F87254">
      <w:pPr>
        <w:pStyle w:val="ListParagraph"/>
        <w:numPr>
          <w:ilvl w:val="0"/>
          <w:numId w:val="3"/>
        </w:numPr>
        <w:spacing w:after="200" w:line="276" w:lineRule="auto"/>
        <w:ind w:firstLine="1440"/>
        <w:rPr>
          <w:b/>
        </w:rPr>
      </w:pPr>
      <w:r w:rsidRPr="00AC7FEA">
        <w:rPr>
          <w:b/>
        </w:rPr>
        <w:t>Mental Health</w:t>
      </w:r>
    </w:p>
    <w:p w14:paraId="530DA6D9" w14:textId="6207AC91" w:rsidR="00AC7FEA" w:rsidRPr="00AC7FEA" w:rsidRDefault="00FA77EF" w:rsidP="00F87254">
      <w:pPr>
        <w:pStyle w:val="ListParagraph"/>
        <w:numPr>
          <w:ilvl w:val="0"/>
          <w:numId w:val="3"/>
        </w:numPr>
        <w:spacing w:after="200" w:line="276" w:lineRule="auto"/>
        <w:ind w:firstLine="1440"/>
        <w:rPr>
          <w:b/>
        </w:rPr>
      </w:pPr>
      <w:r w:rsidRPr="00AC7FEA">
        <w:rPr>
          <w:b/>
        </w:rPr>
        <w:t>Cancer</w:t>
      </w:r>
    </w:p>
    <w:p w14:paraId="06426C5D" w14:textId="77777777" w:rsidR="00AC7FEA" w:rsidRPr="00AC7FEA" w:rsidRDefault="00FA77EF" w:rsidP="00F87254">
      <w:pPr>
        <w:pStyle w:val="ListParagraph"/>
        <w:numPr>
          <w:ilvl w:val="0"/>
          <w:numId w:val="3"/>
        </w:numPr>
        <w:spacing w:after="200" w:line="276" w:lineRule="auto"/>
        <w:ind w:firstLine="1440"/>
        <w:rPr>
          <w:b/>
        </w:rPr>
      </w:pPr>
      <w:r w:rsidRPr="00AC7FEA">
        <w:rPr>
          <w:b/>
        </w:rPr>
        <w:t>Urgent and Emergency Care</w:t>
      </w:r>
    </w:p>
    <w:p w14:paraId="0FAFC0C2" w14:textId="77777777" w:rsidR="00750DEC" w:rsidRPr="00750DEC" w:rsidRDefault="00FA77EF" w:rsidP="00F87254">
      <w:pPr>
        <w:pStyle w:val="ListParagraph"/>
        <w:numPr>
          <w:ilvl w:val="0"/>
          <w:numId w:val="3"/>
        </w:numPr>
        <w:spacing w:after="200" w:line="276" w:lineRule="auto"/>
        <w:ind w:firstLine="1440"/>
      </w:pPr>
      <w:r w:rsidRPr="00AC7FEA">
        <w:rPr>
          <w:b/>
        </w:rPr>
        <w:t>Children</w:t>
      </w:r>
    </w:p>
    <w:p w14:paraId="580B99EC" w14:textId="3D200013" w:rsidR="00AC7FEA" w:rsidRDefault="00FA77EF" w:rsidP="00F87254">
      <w:pPr>
        <w:pStyle w:val="ListParagraph"/>
        <w:numPr>
          <w:ilvl w:val="0"/>
          <w:numId w:val="3"/>
        </w:numPr>
        <w:spacing w:after="200" w:line="276" w:lineRule="auto"/>
        <w:ind w:firstLine="1440"/>
      </w:pPr>
      <w:r w:rsidRPr="00AC7FEA">
        <w:rPr>
          <w:b/>
        </w:rPr>
        <w:t>Prevention</w:t>
      </w:r>
    </w:p>
    <w:p w14:paraId="243DFF24" w14:textId="77DA56C0" w:rsidR="00FA77EF" w:rsidRDefault="00FA77EF">
      <w:pPr>
        <w:spacing w:after="200" w:line="276" w:lineRule="auto"/>
      </w:pPr>
      <w:r>
        <w:t xml:space="preserve">(plus </w:t>
      </w:r>
      <w:r w:rsidR="00F87254" w:rsidRPr="00750DEC">
        <w:rPr>
          <w:b/>
        </w:rPr>
        <w:t>T</w:t>
      </w:r>
      <w:r w:rsidRPr="00750DEC">
        <w:rPr>
          <w:b/>
        </w:rPr>
        <w:t xml:space="preserve">ransforming </w:t>
      </w:r>
      <w:r w:rsidR="00F87254" w:rsidRPr="00750DEC">
        <w:rPr>
          <w:b/>
        </w:rPr>
        <w:t>G</w:t>
      </w:r>
      <w:r w:rsidRPr="00750DEC">
        <w:rPr>
          <w:b/>
        </w:rPr>
        <w:t xml:space="preserve">eneral </w:t>
      </w:r>
      <w:r w:rsidR="00F87254" w:rsidRPr="00750DEC">
        <w:rPr>
          <w:b/>
        </w:rPr>
        <w:t>P</w:t>
      </w:r>
      <w:r w:rsidRPr="00750DEC">
        <w:rPr>
          <w:b/>
        </w:rPr>
        <w:t>ractice</w:t>
      </w:r>
      <w:r>
        <w:t>)</w:t>
      </w:r>
      <w:r w:rsidR="00750DEC">
        <w:t xml:space="preserve">. </w:t>
      </w:r>
      <w:r w:rsidR="000D1B70">
        <w:t>However, the whole ICS theme</w:t>
      </w:r>
      <w:r w:rsidR="00530F74">
        <w:t>s</w:t>
      </w:r>
      <w:r w:rsidR="000D1B70">
        <w:t xml:space="preserve"> will be drawn from our individual network plans; there will be a strong emphasis on reducing variations in care.</w:t>
      </w:r>
    </w:p>
    <w:p w14:paraId="7971DD58" w14:textId="77777777" w:rsidR="000D1B70" w:rsidRDefault="000D1B70">
      <w:pPr>
        <w:spacing w:after="200" w:line="276" w:lineRule="auto"/>
      </w:pPr>
      <w:r>
        <w:t>In return for investment we are being asked to facilitate a high level of engagement and buy in from all practices so that we can ‘put in place the foundations for the long-term stability of general practice through collaboration</w:t>
      </w:r>
      <w:r w:rsidR="00530F74">
        <w:t>’</w:t>
      </w:r>
      <w:r>
        <w:t xml:space="preserve"> (at scale). </w:t>
      </w:r>
    </w:p>
    <w:p w14:paraId="20456DEF" w14:textId="77777777" w:rsidR="00FA5E76" w:rsidRDefault="00FA5E76">
      <w:pPr>
        <w:spacing w:after="200" w:line="276" w:lineRule="auto"/>
        <w:rPr>
          <w:b/>
        </w:rPr>
      </w:pPr>
      <w:r>
        <w:rPr>
          <w:b/>
        </w:rPr>
        <w:t>Is there funding for working up our Network Plans?</w:t>
      </w:r>
    </w:p>
    <w:p w14:paraId="22973222" w14:textId="77777777" w:rsidR="00FA5E76" w:rsidRDefault="00FA5E76" w:rsidP="00FA5E76">
      <w:pPr>
        <w:spacing w:after="200" w:line="276" w:lineRule="auto"/>
      </w:pPr>
      <w:r w:rsidRPr="00FA5E76">
        <w:t>Each network will receive £5,687 plus an additional £1500 per practice. It is up to the networks to decide how this funding is used but must include: clinical leadership, production of the plan, communication and engagement with practices, community services partners and people within your community.</w:t>
      </w:r>
    </w:p>
    <w:p w14:paraId="2D0664F0" w14:textId="77777777" w:rsidR="000D1B70" w:rsidRDefault="00FE7EE2">
      <w:pPr>
        <w:spacing w:after="200" w:line="276" w:lineRule="auto"/>
        <w:rPr>
          <w:b/>
        </w:rPr>
      </w:pPr>
      <w:r w:rsidRPr="00FE7EE2">
        <w:rPr>
          <w:b/>
        </w:rPr>
        <w:t>What must be in our plans</w:t>
      </w:r>
      <w:r>
        <w:rPr>
          <w:b/>
        </w:rPr>
        <w:t>?</w:t>
      </w:r>
    </w:p>
    <w:p w14:paraId="74FABB76" w14:textId="29E2CD61" w:rsidR="00EC63F5" w:rsidRDefault="00FE7EE2">
      <w:pPr>
        <w:spacing w:after="200" w:line="276" w:lineRule="auto"/>
      </w:pPr>
      <w:r>
        <w:t>Plans must be based on the Primary Care Maturity Matrix</w:t>
      </w:r>
      <w:r w:rsidR="005A7C30">
        <w:t xml:space="preserve"> – see next page.</w:t>
      </w:r>
    </w:p>
    <w:p w14:paraId="7066E68E" w14:textId="77777777" w:rsidR="00EC63F5" w:rsidRDefault="00EC63F5">
      <w:pPr>
        <w:spacing w:after="200" w:line="276" w:lineRule="auto"/>
        <w:sectPr w:rsidR="00EC63F5" w:rsidSect="007128C9">
          <w:pgSz w:w="11906" w:h="16838" w:code="9"/>
          <w:pgMar w:top="1440" w:right="1134" w:bottom="851" w:left="1134" w:header="709" w:footer="567" w:gutter="0"/>
          <w:cols w:space="708"/>
          <w:titlePg/>
          <w:docGrid w:linePitch="360"/>
        </w:sectPr>
      </w:pPr>
    </w:p>
    <w:p w14:paraId="65471624" w14:textId="1F121BE5" w:rsidR="00FE7EE2" w:rsidRDefault="00D77B38" w:rsidP="00827FF8">
      <w:pPr>
        <w:spacing w:after="200" w:line="276" w:lineRule="auto"/>
        <w:jc w:val="center"/>
      </w:pPr>
      <w:r>
        <w:rPr>
          <w:noProof/>
          <w:lang w:eastAsia="en-GB"/>
        </w:rPr>
        <w:lastRenderedPageBreak/>
        <w:drawing>
          <wp:inline distT="0" distB="0" distL="0" distR="0" wp14:anchorId="0624B500" wp14:editId="7663548A">
            <wp:extent cx="9293189" cy="5437505"/>
            <wp:effectExtent l="0" t="0" r="3810" b="0"/>
            <wp:docPr id="3" name="Picture 3" descr="Maturity grid  -  Read-Only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F8C752.tmp"/>
                    <pic:cNvPicPr/>
                  </pic:nvPicPr>
                  <pic:blipFill rotWithShape="1">
                    <a:blip r:embed="rId13">
                      <a:extLst>
                        <a:ext uri="{28A0092B-C50C-407E-A947-70E740481C1C}">
                          <a14:useLocalDpi xmlns:a14="http://schemas.microsoft.com/office/drawing/2010/main" val="0"/>
                        </a:ext>
                      </a:extLst>
                    </a:blip>
                    <a:srcRect l="17052" t="25005" r="5075" b="6516"/>
                    <a:stretch/>
                  </pic:blipFill>
                  <pic:spPr bwMode="auto">
                    <a:xfrm>
                      <a:off x="0" y="0"/>
                      <a:ext cx="9293189" cy="5437505"/>
                    </a:xfrm>
                    <a:prstGeom prst="rect">
                      <a:avLst/>
                    </a:prstGeom>
                    <a:ln>
                      <a:noFill/>
                    </a:ln>
                    <a:extLst>
                      <a:ext uri="{53640926-AAD7-44D8-BBD7-CCE9431645EC}">
                        <a14:shadowObscured xmlns:a14="http://schemas.microsoft.com/office/drawing/2010/main"/>
                      </a:ext>
                    </a:extLst>
                  </pic:spPr>
                </pic:pic>
              </a:graphicData>
            </a:graphic>
          </wp:inline>
        </w:drawing>
      </w:r>
    </w:p>
    <w:p w14:paraId="16790A1B" w14:textId="77777777" w:rsidR="00EC63F5" w:rsidRDefault="00EC63F5">
      <w:pPr>
        <w:spacing w:after="200" w:line="276" w:lineRule="auto"/>
        <w:rPr>
          <w:b/>
        </w:rPr>
        <w:sectPr w:rsidR="00EC63F5" w:rsidSect="00EC63F5">
          <w:pgSz w:w="16838" w:h="11906" w:orient="landscape" w:code="9"/>
          <w:pgMar w:top="1134" w:right="1440" w:bottom="1134" w:left="851" w:header="709" w:footer="567" w:gutter="0"/>
          <w:cols w:space="708"/>
          <w:titlePg/>
          <w:docGrid w:linePitch="360"/>
        </w:sectPr>
      </w:pPr>
    </w:p>
    <w:p w14:paraId="2E6B94C1" w14:textId="31ED5D77" w:rsidR="001B346B" w:rsidRPr="0099604B" w:rsidRDefault="001B346B" w:rsidP="001B346B">
      <w:pPr>
        <w:pBdr>
          <w:top w:val="single" w:sz="24" w:space="8" w:color="4F81BD" w:themeColor="accent1"/>
          <w:bottom w:val="single" w:sz="24" w:space="8" w:color="4F81BD" w:themeColor="accent1"/>
        </w:pBdr>
        <w:jc w:val="center"/>
        <w:rPr>
          <w:b/>
          <w:i/>
          <w:iCs/>
          <w:color w:val="365F91" w:themeColor="accent1" w:themeShade="BF"/>
          <w:sz w:val="32"/>
          <w:szCs w:val="32"/>
        </w:rPr>
      </w:pPr>
      <w:r>
        <w:rPr>
          <w:b/>
          <w:i/>
          <w:iCs/>
          <w:color w:val="365F91" w:themeColor="accent1" w:themeShade="BF"/>
          <w:sz w:val="32"/>
          <w:szCs w:val="32"/>
        </w:rPr>
        <w:lastRenderedPageBreak/>
        <w:t xml:space="preserve">The NHSE Pillars – How we </w:t>
      </w:r>
      <w:r w:rsidR="005A7C30">
        <w:rPr>
          <w:b/>
          <w:i/>
          <w:iCs/>
          <w:color w:val="365F91" w:themeColor="accent1" w:themeShade="BF"/>
          <w:sz w:val="32"/>
          <w:szCs w:val="32"/>
        </w:rPr>
        <w:t xml:space="preserve">can </w:t>
      </w:r>
      <w:r w:rsidR="000C5778">
        <w:rPr>
          <w:b/>
          <w:i/>
          <w:iCs/>
          <w:color w:val="365F91" w:themeColor="accent1" w:themeShade="BF"/>
          <w:sz w:val="32"/>
          <w:szCs w:val="32"/>
        </w:rPr>
        <w:t>build</w:t>
      </w:r>
      <w:r w:rsidR="005A7C30">
        <w:rPr>
          <w:b/>
          <w:i/>
          <w:iCs/>
          <w:color w:val="365F91" w:themeColor="accent1" w:themeShade="BF"/>
          <w:sz w:val="32"/>
          <w:szCs w:val="32"/>
        </w:rPr>
        <w:t xml:space="preserve"> them</w:t>
      </w:r>
      <w:r w:rsidR="000C5778">
        <w:rPr>
          <w:b/>
          <w:i/>
          <w:iCs/>
          <w:color w:val="365F91" w:themeColor="accent1" w:themeShade="BF"/>
          <w:sz w:val="32"/>
          <w:szCs w:val="32"/>
        </w:rPr>
        <w:t xml:space="preserve"> locally</w:t>
      </w:r>
    </w:p>
    <w:p w14:paraId="095B6BB2" w14:textId="77777777" w:rsidR="007755F5" w:rsidRDefault="007755F5">
      <w:pPr>
        <w:spacing w:after="200" w:line="276" w:lineRule="auto"/>
        <w:rPr>
          <w:b/>
        </w:rPr>
      </w:pPr>
    </w:p>
    <w:p w14:paraId="73294947" w14:textId="3E02B80C" w:rsidR="00FE7CF5" w:rsidRDefault="008F25A3">
      <w:pPr>
        <w:spacing w:after="200" w:line="276" w:lineRule="auto"/>
        <w:rPr>
          <w:b/>
        </w:rPr>
      </w:pPr>
      <w:r>
        <w:rPr>
          <w:b/>
        </w:rPr>
        <w:t xml:space="preserve">Right </w:t>
      </w:r>
      <w:r w:rsidR="00FA5E76">
        <w:rPr>
          <w:b/>
        </w:rPr>
        <w:t>Scale</w:t>
      </w:r>
    </w:p>
    <w:p w14:paraId="11ED1FB5" w14:textId="31B0E672" w:rsidR="00FA5E76" w:rsidRDefault="00FA5E76">
      <w:pPr>
        <w:spacing w:after="200" w:line="276" w:lineRule="auto"/>
      </w:pPr>
      <w:r>
        <w:t xml:space="preserve">We </w:t>
      </w:r>
      <w:r w:rsidR="00F65AA2">
        <w:t>are</w:t>
      </w:r>
      <w:r>
        <w:t xml:space="preserve"> used to working within localities to deliver our locality plans </w:t>
      </w:r>
      <w:r w:rsidR="00833F98">
        <w:t>through</w:t>
      </w:r>
      <w:r w:rsidR="00F65AA2">
        <w:t xml:space="preserve"> </w:t>
      </w:r>
      <w:r>
        <w:t xml:space="preserve">the Vanguard program. There have been mergers in Aldershot and Yateley and </w:t>
      </w:r>
      <w:r w:rsidR="00615BBC">
        <w:t>a merger</w:t>
      </w:r>
      <w:r>
        <w:t xml:space="preserve"> is planned in Farnborough. Practices that still value their independence have </w:t>
      </w:r>
      <w:r w:rsidR="00002F29">
        <w:t xml:space="preserve">also </w:t>
      </w:r>
      <w:r>
        <w:t xml:space="preserve">been </w:t>
      </w:r>
      <w:r w:rsidR="009B69A5">
        <w:t>teamworking</w:t>
      </w:r>
      <w:r w:rsidR="00002F29">
        <w:t xml:space="preserve">, </w:t>
      </w:r>
      <w:r>
        <w:t xml:space="preserve">sharing staff employed by their Federation. </w:t>
      </w:r>
      <w:r w:rsidR="006A1DB1">
        <w:t xml:space="preserve">Each </w:t>
      </w:r>
      <w:r>
        <w:t xml:space="preserve">Network </w:t>
      </w:r>
      <w:r w:rsidR="00002F29">
        <w:t>needs</w:t>
      </w:r>
      <w:r>
        <w:t xml:space="preserve"> to consider </w:t>
      </w:r>
      <w:r w:rsidR="006A1DB1">
        <w:t>how they make</w:t>
      </w:r>
      <w:r>
        <w:t xml:space="preserve"> collective decisions and </w:t>
      </w:r>
      <w:r w:rsidR="00494F2C">
        <w:t>what mandate they give to their network lead to represent the network</w:t>
      </w:r>
      <w:r w:rsidR="006A1DB1">
        <w:t>’</w:t>
      </w:r>
      <w:r w:rsidR="00494F2C">
        <w:t xml:space="preserve">s constituent practices. Salus </w:t>
      </w:r>
      <w:r w:rsidR="00EF3ECE">
        <w:t>is</w:t>
      </w:r>
      <w:r w:rsidR="00494F2C">
        <w:t xml:space="preserve"> offering to organise and be present at locality meetings if this is helpful</w:t>
      </w:r>
      <w:r w:rsidR="00EF3ECE">
        <w:t>;</w:t>
      </w:r>
      <w:r w:rsidR="00494F2C">
        <w:t xml:space="preserve"> Aldershot </w:t>
      </w:r>
      <w:r w:rsidR="00A33B56">
        <w:t xml:space="preserve">will </w:t>
      </w:r>
      <w:r w:rsidR="00494F2C">
        <w:t>have a website so that those that cannot attend meetings can share their views.</w:t>
      </w:r>
    </w:p>
    <w:p w14:paraId="03355E55" w14:textId="77777777" w:rsidR="00494F2C" w:rsidRDefault="00494F2C">
      <w:pPr>
        <w:spacing w:after="200" w:line="276" w:lineRule="auto"/>
        <w:rPr>
          <w:b/>
        </w:rPr>
      </w:pPr>
      <w:r>
        <w:rPr>
          <w:b/>
        </w:rPr>
        <w:t xml:space="preserve">Integrated Working </w:t>
      </w:r>
    </w:p>
    <w:p w14:paraId="20882F4D" w14:textId="77777777" w:rsidR="00AE1C9B" w:rsidRDefault="00494F2C" w:rsidP="00AE1C9B">
      <w:pPr>
        <w:spacing w:after="200" w:line="276" w:lineRule="auto"/>
      </w:pPr>
      <w:r>
        <w:t>The use of the word integrated is becoming confusing, we have integrated care systems and integrated care teams already. In this context we need to consider our existing at</w:t>
      </w:r>
      <w:r w:rsidR="00A33B56">
        <w:t>-</w:t>
      </w:r>
      <w:r>
        <w:t xml:space="preserve">scale delivery models and how we </w:t>
      </w:r>
      <w:r w:rsidR="00A52CCF">
        <w:t>will</w:t>
      </w:r>
      <w:r>
        <w:t xml:space="preserve"> develop what we already have</w:t>
      </w:r>
      <w:r w:rsidR="00A52CCF">
        <w:t xml:space="preserve"> – for example,</w:t>
      </w:r>
      <w:r>
        <w:t xml:space="preserve"> maintaining and developing our existing very highly regarded paramedic workforce. We </w:t>
      </w:r>
      <w:r w:rsidR="008D3B62">
        <w:t>anticipate</w:t>
      </w:r>
      <w:r>
        <w:t xml:space="preserve"> more paramedics to cover annual leave, unscheduled absence and future absence for training.</w:t>
      </w:r>
      <w:r w:rsidR="00AE1C9B">
        <w:t xml:space="preserve"> Integrated Care Teams are a ‘must do’ item. We are very lucky to already have successful ICT’s in all five localities but how would we like to see this develop/improve?</w:t>
      </w:r>
    </w:p>
    <w:p w14:paraId="481F68E7" w14:textId="77777777" w:rsidR="00494F2C" w:rsidRDefault="00494F2C">
      <w:pPr>
        <w:spacing w:after="200" w:line="276" w:lineRule="auto"/>
      </w:pPr>
      <w:r>
        <w:t xml:space="preserve">We are already working together </w:t>
      </w:r>
      <w:r w:rsidR="00530F74">
        <w:t>to deliver</w:t>
      </w:r>
      <w:r>
        <w:t xml:space="preserve"> extended access in all five localities but we are now also being asked about how we feel about urgent care models</w:t>
      </w:r>
      <w:r w:rsidR="000A5B6C">
        <w:t>, we have two local examples of dealing with ‘on the day’ demand in both Farnham and Yateley.</w:t>
      </w:r>
    </w:p>
    <w:p w14:paraId="71F28B15" w14:textId="77777777" w:rsidR="000A5B6C" w:rsidRPr="000A5B6C" w:rsidRDefault="000A5B6C">
      <w:pPr>
        <w:spacing w:after="200" w:line="276" w:lineRule="auto"/>
        <w:rPr>
          <w:b/>
        </w:rPr>
      </w:pPr>
      <w:r>
        <w:rPr>
          <w:b/>
        </w:rPr>
        <w:t>Targeting Care</w:t>
      </w:r>
    </w:p>
    <w:p w14:paraId="00CE988C" w14:textId="001EBF41" w:rsidR="00494F2C" w:rsidRDefault="000A5B6C">
      <w:pPr>
        <w:spacing w:after="200" w:line="276" w:lineRule="auto"/>
      </w:pPr>
      <w:r>
        <w:t xml:space="preserve">We are being asked to reduce variations in care and outcomes across networks. This involves describing and understanding our different populations and deciding where we should target interventions. We have information packs from the CCG. It should be emphasised that we only need to have decided on </w:t>
      </w:r>
      <w:r w:rsidRPr="005D0F93">
        <w:rPr>
          <w:b/>
        </w:rPr>
        <w:t>which areas we would like to focus on</w:t>
      </w:r>
      <w:r>
        <w:t xml:space="preserve"> by October 1</w:t>
      </w:r>
      <w:r w:rsidRPr="000A5B6C">
        <w:rPr>
          <w:vertAlign w:val="superscript"/>
        </w:rPr>
        <w:t>st</w:t>
      </w:r>
      <w:r>
        <w:t xml:space="preserve">. We are not being required to come up with detailed costed plans. We should also be clear that this cannot happen without adequate support and funding and that </w:t>
      </w:r>
      <w:r w:rsidR="00992BCE">
        <w:t>good interventions for patients should go hand in hand with making working in general practice feel better.</w:t>
      </w:r>
    </w:p>
    <w:p w14:paraId="10BEE657" w14:textId="77777777" w:rsidR="00992BCE" w:rsidRDefault="00992BCE">
      <w:pPr>
        <w:spacing w:after="200" w:line="276" w:lineRule="auto"/>
        <w:rPr>
          <w:b/>
        </w:rPr>
      </w:pPr>
      <w:r>
        <w:rPr>
          <w:b/>
        </w:rPr>
        <w:t>Managing Resources</w:t>
      </w:r>
    </w:p>
    <w:p w14:paraId="069742EB" w14:textId="2AE8583A" w:rsidR="00992BCE" w:rsidRDefault="00992BCE">
      <w:pPr>
        <w:spacing w:after="200" w:line="276" w:lineRule="auto"/>
      </w:pPr>
      <w:r>
        <w:t>How does the network aim to use working at scale as part of future workforce planning? We are lucky</w:t>
      </w:r>
      <w:r w:rsidR="009575E1">
        <w:t>, having already</w:t>
      </w:r>
      <w:r>
        <w:t xml:space="preserve"> made a start on introducing a skill-mix into general practice – how </w:t>
      </w:r>
      <w:r w:rsidR="009575E1">
        <w:t>should</w:t>
      </w:r>
      <w:r>
        <w:t xml:space="preserve"> this develop?</w:t>
      </w:r>
    </w:p>
    <w:p w14:paraId="008CCAED" w14:textId="0C94AAED" w:rsidR="00C716B8" w:rsidRDefault="00992BCE">
      <w:pPr>
        <w:spacing w:after="200" w:line="276" w:lineRule="auto"/>
      </w:pPr>
      <w:r>
        <w:t xml:space="preserve">We have talked about supporting practices with back office functions – can we realise economies </w:t>
      </w:r>
      <w:r w:rsidR="00B66E92">
        <w:t xml:space="preserve">of scale. We have talked with virtually all the practice managers over the last couple of years – help with CQC has been a continual theme but there must be others. So far much of the work we have done has concentrated on reducing the load on our GPs but we </w:t>
      </w:r>
      <w:r w:rsidR="0080261B">
        <w:t xml:space="preserve">must </w:t>
      </w:r>
      <w:r w:rsidR="00B66E92">
        <w:t>also be think about our very hard working practice managers and administrative staff.</w:t>
      </w:r>
    </w:p>
    <w:p w14:paraId="0D46E20B" w14:textId="4841829C" w:rsidR="00F72DD0" w:rsidRPr="0099604B" w:rsidRDefault="00F72DD0" w:rsidP="00F72DD0">
      <w:pPr>
        <w:pBdr>
          <w:top w:val="single" w:sz="24" w:space="8" w:color="4F81BD" w:themeColor="accent1"/>
          <w:bottom w:val="single" w:sz="24" w:space="8" w:color="4F81BD" w:themeColor="accent1"/>
        </w:pBdr>
        <w:jc w:val="center"/>
        <w:rPr>
          <w:b/>
          <w:i/>
          <w:iCs/>
          <w:color w:val="365F91" w:themeColor="accent1" w:themeShade="BF"/>
          <w:sz w:val="32"/>
          <w:szCs w:val="32"/>
        </w:rPr>
      </w:pPr>
      <w:r>
        <w:rPr>
          <w:b/>
          <w:i/>
          <w:iCs/>
          <w:color w:val="365F91" w:themeColor="accent1" w:themeShade="BF"/>
          <w:sz w:val="32"/>
          <w:szCs w:val="32"/>
        </w:rPr>
        <w:lastRenderedPageBreak/>
        <w:t>Empowered Primary Care – having your say</w:t>
      </w:r>
    </w:p>
    <w:p w14:paraId="05416387" w14:textId="77777777" w:rsidR="00AE1C9B" w:rsidRDefault="00AE1C9B">
      <w:pPr>
        <w:spacing w:after="200" w:line="276" w:lineRule="auto"/>
      </w:pPr>
    </w:p>
    <w:p w14:paraId="1E20A23F" w14:textId="77777777" w:rsidR="00AE1C9B" w:rsidRDefault="00B66E92">
      <w:pPr>
        <w:spacing w:after="200" w:line="276" w:lineRule="auto"/>
      </w:pPr>
      <w:r w:rsidRPr="00AE1C9B">
        <w:rPr>
          <w:b/>
        </w:rPr>
        <w:t xml:space="preserve">We would value your views on the best ways </w:t>
      </w:r>
      <w:r w:rsidR="00C716B8" w:rsidRPr="00AE1C9B">
        <w:rPr>
          <w:b/>
        </w:rPr>
        <w:t xml:space="preserve">for us </w:t>
      </w:r>
      <w:r w:rsidRPr="00AE1C9B">
        <w:rPr>
          <w:b/>
        </w:rPr>
        <w:t xml:space="preserve">to facilitate </w:t>
      </w:r>
      <w:r w:rsidR="006E15D6" w:rsidRPr="00AE1C9B">
        <w:rPr>
          <w:b/>
        </w:rPr>
        <w:t>two-way</w:t>
      </w:r>
      <w:r w:rsidRPr="00AE1C9B">
        <w:rPr>
          <w:b/>
        </w:rPr>
        <w:t xml:space="preserve"> communication between life at practice level and the ICS board</w:t>
      </w:r>
      <w:r w:rsidR="00826650">
        <w:t>.</w:t>
      </w:r>
      <w:r w:rsidR="006C72AA">
        <w:t xml:space="preserve"> </w:t>
      </w:r>
    </w:p>
    <w:p w14:paraId="1CFF3044" w14:textId="3893EE10" w:rsidR="00C716B8" w:rsidRDefault="00C716B8">
      <w:pPr>
        <w:spacing w:after="200" w:line="276" w:lineRule="auto"/>
      </w:pPr>
      <w:r>
        <w:t>It is widely accepted that there is a need to change the way General Practice works, and is funded, to make it a safe and sustainable place to work both now and for the future.  The key points to remember are:</w:t>
      </w:r>
    </w:p>
    <w:p w14:paraId="3E7351AA" w14:textId="77777777" w:rsidR="00C716B8" w:rsidRDefault="006C72AA" w:rsidP="00C716B8">
      <w:pPr>
        <w:pStyle w:val="ListParagraph"/>
        <w:numPr>
          <w:ilvl w:val="0"/>
          <w:numId w:val="2"/>
        </w:numPr>
        <w:spacing w:after="200" w:line="276" w:lineRule="auto"/>
      </w:pPr>
      <w:r>
        <w:t>Showing a united front will let us have an impact on planning that reflects the importance of our role and the scale of our interactions with the public</w:t>
      </w:r>
    </w:p>
    <w:p w14:paraId="639D3BD7" w14:textId="77777777" w:rsidR="00C716B8" w:rsidRDefault="00C716B8" w:rsidP="00C716B8">
      <w:pPr>
        <w:pStyle w:val="ListParagraph"/>
        <w:numPr>
          <w:ilvl w:val="0"/>
          <w:numId w:val="2"/>
        </w:numPr>
        <w:spacing w:after="200" w:line="276" w:lineRule="auto"/>
      </w:pPr>
      <w:r>
        <w:t xml:space="preserve">Rather than seeing ICS as a risk, consider it an opportunity to significantly influence those changes. </w:t>
      </w:r>
    </w:p>
    <w:p w14:paraId="3FD3732A" w14:textId="54873F89" w:rsidR="00B66E92" w:rsidRDefault="006C72AA" w:rsidP="00C716B8">
      <w:pPr>
        <w:pStyle w:val="ListParagraph"/>
        <w:numPr>
          <w:ilvl w:val="0"/>
          <w:numId w:val="2"/>
        </w:numPr>
        <w:spacing w:after="200" w:line="276" w:lineRule="auto"/>
      </w:pPr>
      <w:r>
        <w:t>It will not happen overnight and we will need to continue to consult widely, to evaluate objectively and to implement what makes sense for us and our patients.</w:t>
      </w:r>
    </w:p>
    <w:p w14:paraId="6697DF1F" w14:textId="77777777" w:rsidR="00C716B8" w:rsidRDefault="00826650" w:rsidP="00826650">
      <w:r>
        <w:t>Transforming the way we work is difficult and of course much of what we currently do is excellent and should not be tampered with</w:t>
      </w:r>
      <w:r w:rsidR="006C72AA">
        <w:t>; but w</w:t>
      </w:r>
      <w:r>
        <w:t>e have already seen what improvements can be achieved in our area through adding skill mix and working collaboratively</w:t>
      </w:r>
      <w:r w:rsidR="007352A2">
        <w:t xml:space="preserve"> -</w:t>
      </w:r>
      <w:r>
        <w:t xml:space="preserve"> something that 5 years ago might have seemed impossible.</w:t>
      </w:r>
    </w:p>
    <w:p w14:paraId="253C29F3" w14:textId="299F7D55" w:rsidR="00C716B8" w:rsidRDefault="00826650" w:rsidP="00826650">
      <w:r>
        <w:t>The ICS represents a new opportunity to build on this, not dismantle it and try something different as has so often happened in the past.  This time we are developing and refining what we do, learning from successes and failures both locally and nationally, and most importantly we, the GP community, have a real opportunity to influence the future and raise the profile of General Practice in the local healthcare economy. </w:t>
      </w:r>
    </w:p>
    <w:p w14:paraId="08BE5F04" w14:textId="77777777" w:rsidR="00C716B8" w:rsidRDefault="00C716B8" w:rsidP="00826650"/>
    <w:p w14:paraId="7F62D823" w14:textId="77777777" w:rsidR="00E77F70" w:rsidRDefault="00E77F70" w:rsidP="00826650"/>
    <w:p w14:paraId="16FB7D25" w14:textId="3FD8E8AC" w:rsidR="00826650" w:rsidRDefault="00C716B8" w:rsidP="00826650">
      <w:r>
        <w:t>Let’s</w:t>
      </w:r>
      <w:r w:rsidR="00826650">
        <w:t xml:space="preserve"> use this opportunity to ensure that developments are done with us</w:t>
      </w:r>
      <w:r>
        <w:t>,</w:t>
      </w:r>
      <w:r w:rsidR="00826650">
        <w:t xml:space="preserve"> not to us! </w:t>
      </w:r>
    </w:p>
    <w:p w14:paraId="2DF5E1AF" w14:textId="0E0AA5C3" w:rsidR="00B66E92" w:rsidRDefault="00B66E92">
      <w:pPr>
        <w:spacing w:after="200" w:line="276" w:lineRule="auto"/>
      </w:pPr>
    </w:p>
    <w:p w14:paraId="4985E4CF" w14:textId="77777777" w:rsidR="00E77F70" w:rsidRDefault="00E77F70">
      <w:pPr>
        <w:spacing w:after="200" w:line="276" w:lineRule="auto"/>
      </w:pPr>
    </w:p>
    <w:p w14:paraId="4CDFBEBB" w14:textId="7729DF6D" w:rsidR="00B66E92" w:rsidRDefault="0007292F">
      <w:pPr>
        <w:spacing w:after="200" w:line="276" w:lineRule="auto"/>
      </w:pPr>
      <w:r>
        <w:t>Dr Nick Hughes</w:t>
      </w:r>
    </w:p>
    <w:p w14:paraId="1C6D51FC" w14:textId="05813D4D" w:rsidR="0007292F" w:rsidRDefault="0007292F">
      <w:pPr>
        <w:spacing w:after="200" w:line="276" w:lineRule="auto"/>
      </w:pPr>
      <w:r>
        <w:t>August 30</w:t>
      </w:r>
      <w:r w:rsidRPr="0007292F">
        <w:rPr>
          <w:vertAlign w:val="superscript"/>
        </w:rPr>
        <w:t>th</w:t>
      </w:r>
      <w:r>
        <w:t xml:space="preserve"> 2018</w:t>
      </w:r>
    </w:p>
    <w:p w14:paraId="3EA4E2B3" w14:textId="77777777" w:rsidR="00B66E92" w:rsidRDefault="00B66E92">
      <w:pPr>
        <w:spacing w:after="200" w:line="276" w:lineRule="auto"/>
      </w:pPr>
      <w:r>
        <w:t xml:space="preserve"> </w:t>
      </w:r>
    </w:p>
    <w:sectPr w:rsidR="00B66E92" w:rsidSect="007128C9">
      <w:footerReference w:type="default" r:id="rId14"/>
      <w:pgSz w:w="11906" w:h="16838" w:code="9"/>
      <w:pgMar w:top="1440" w:right="1134"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6E52B" w14:textId="77777777" w:rsidR="005741AD" w:rsidRDefault="005741AD" w:rsidP="00E272AA">
      <w:r>
        <w:separator/>
      </w:r>
    </w:p>
  </w:endnote>
  <w:endnote w:type="continuationSeparator" w:id="0">
    <w:p w14:paraId="0A5BD531" w14:textId="77777777" w:rsidR="005741AD" w:rsidRDefault="005741AD" w:rsidP="00E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2FF" w14:textId="491552F8" w:rsidR="007128C9" w:rsidRPr="007C5336" w:rsidRDefault="007128C9" w:rsidP="007128C9">
    <w:pPr>
      <w:pStyle w:val="Footer"/>
      <w:tabs>
        <w:tab w:val="clear" w:pos="4513"/>
        <w:tab w:val="clear" w:pos="9026"/>
        <w:tab w:val="left" w:pos="5595"/>
      </w:tabs>
      <w:jc w:val="center"/>
      <w:rPr>
        <w:color w:val="EEECE1" w:themeColor="background2"/>
        <w:sz w:val="18"/>
      </w:rPr>
    </w:pPr>
    <w:r w:rsidRPr="00AB7476">
      <w:rPr>
        <w:color w:val="7F7F7F" w:themeColor="text1" w:themeTint="80"/>
        <w:sz w:val="18"/>
      </w:rPr>
      <w:t xml:space="preserve">Page </w:t>
    </w:r>
    <w:r w:rsidR="00F772E6" w:rsidRPr="00AB7476">
      <w:rPr>
        <w:color w:val="7F7F7F" w:themeColor="text1" w:themeTint="80"/>
        <w:sz w:val="18"/>
      </w:rPr>
      <w:fldChar w:fldCharType="begin"/>
    </w:r>
    <w:r w:rsidRPr="00AB7476">
      <w:rPr>
        <w:color w:val="7F7F7F" w:themeColor="text1" w:themeTint="80"/>
        <w:sz w:val="18"/>
      </w:rPr>
      <w:instrText xml:space="preserve"> PAGE   \* MERGEFORMAT </w:instrText>
    </w:r>
    <w:r w:rsidR="00F772E6" w:rsidRPr="00AB7476">
      <w:rPr>
        <w:color w:val="7F7F7F" w:themeColor="text1" w:themeTint="80"/>
        <w:sz w:val="18"/>
      </w:rPr>
      <w:fldChar w:fldCharType="separate"/>
    </w:r>
    <w:r w:rsidR="00CA1203">
      <w:rPr>
        <w:noProof/>
        <w:color w:val="7F7F7F" w:themeColor="text1" w:themeTint="80"/>
        <w:sz w:val="18"/>
      </w:rPr>
      <w:t>2</w:t>
    </w:r>
    <w:r w:rsidR="00F772E6" w:rsidRPr="00AB7476">
      <w:rPr>
        <w:color w:val="7F7F7F" w:themeColor="text1" w:themeTint="80"/>
        <w:sz w:val="18"/>
      </w:rPr>
      <w:fldChar w:fldCharType="end"/>
    </w:r>
    <w:r w:rsidRPr="00AB7476">
      <w:rPr>
        <w:color w:val="7F7F7F" w:themeColor="text1" w:themeTint="80"/>
        <w:sz w:val="18"/>
      </w:rPr>
      <w:t xml:space="preserve"> of</w:t>
    </w:r>
    <w:r w:rsidR="007C5336">
      <w:rPr>
        <w:color w:val="7F7F7F" w:themeColor="text1" w:themeTint="80"/>
        <w:sz w:val="18"/>
      </w:rPr>
      <w:t xml:space="preserve"> </w:t>
    </w:r>
    <w:r w:rsidR="00750DEC">
      <w:rPr>
        <w:color w:val="7F7F7F" w:themeColor="text1" w:themeTint="80"/>
        <w:sz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974"/>
      <w:gridCol w:w="2693"/>
    </w:tblGrid>
    <w:tr w:rsidR="00A41556" w:rsidRPr="00033CCD" w14:paraId="35951171" w14:textId="77777777" w:rsidTr="007128C9">
      <w:trPr>
        <w:trHeight w:hRule="exact" w:val="113"/>
      </w:trPr>
      <w:tc>
        <w:tcPr>
          <w:tcW w:w="3080" w:type="dxa"/>
          <w:tcBorders>
            <w:top w:val="single" w:sz="12" w:space="0" w:color="1D1B11" w:themeColor="background2" w:themeShade="1A"/>
          </w:tcBorders>
          <w:shd w:val="clear" w:color="auto" w:fill="auto"/>
        </w:tcPr>
        <w:p w14:paraId="4586C457" w14:textId="77777777" w:rsidR="00A41556" w:rsidRPr="00033CCD" w:rsidRDefault="00A41556" w:rsidP="00827FF8">
          <w:pPr>
            <w:pStyle w:val="Footer"/>
            <w:jc w:val="center"/>
            <w:rPr>
              <w:b/>
              <w:sz w:val="18"/>
              <w:szCs w:val="16"/>
            </w:rPr>
          </w:pPr>
        </w:p>
      </w:tc>
      <w:tc>
        <w:tcPr>
          <w:tcW w:w="3974" w:type="dxa"/>
          <w:tcBorders>
            <w:top w:val="single" w:sz="12" w:space="0" w:color="1D1B11" w:themeColor="background2" w:themeShade="1A"/>
          </w:tcBorders>
          <w:shd w:val="clear" w:color="auto" w:fill="auto"/>
        </w:tcPr>
        <w:p w14:paraId="5E27108D" w14:textId="77777777" w:rsidR="00A41556" w:rsidRDefault="00A41556" w:rsidP="00033CCD">
          <w:pPr>
            <w:pStyle w:val="Footer"/>
            <w:jc w:val="center"/>
            <w:rPr>
              <w:sz w:val="16"/>
              <w:szCs w:val="16"/>
            </w:rPr>
          </w:pPr>
        </w:p>
      </w:tc>
      <w:tc>
        <w:tcPr>
          <w:tcW w:w="2693" w:type="dxa"/>
          <w:tcBorders>
            <w:top w:val="single" w:sz="12" w:space="0" w:color="1D1B11" w:themeColor="background2" w:themeShade="1A"/>
          </w:tcBorders>
          <w:shd w:val="clear" w:color="auto" w:fill="auto"/>
        </w:tcPr>
        <w:p w14:paraId="1BB2CDFD" w14:textId="77777777" w:rsidR="00A41556" w:rsidRDefault="00A41556" w:rsidP="00033CCD">
          <w:pPr>
            <w:pStyle w:val="Footer"/>
            <w:jc w:val="right"/>
            <w:rPr>
              <w:sz w:val="16"/>
              <w:szCs w:val="16"/>
            </w:rPr>
          </w:pPr>
        </w:p>
      </w:tc>
    </w:tr>
    <w:tr w:rsidR="00E328D5" w:rsidRPr="00AB7476" w14:paraId="69292207" w14:textId="77777777" w:rsidTr="00033CCD">
      <w:tc>
        <w:tcPr>
          <w:tcW w:w="3080" w:type="dxa"/>
        </w:tcPr>
        <w:p w14:paraId="19805627" w14:textId="006079C6" w:rsidR="00E328D5" w:rsidRPr="009E3D2F" w:rsidRDefault="00E328D5" w:rsidP="009E3D2F">
          <w:pPr>
            <w:pStyle w:val="Footer"/>
            <w:tabs>
              <w:tab w:val="clear" w:pos="4513"/>
              <w:tab w:val="clear" w:pos="9026"/>
              <w:tab w:val="left" w:pos="5595"/>
            </w:tabs>
            <w:jc w:val="center"/>
            <w:rPr>
              <w:color w:val="7F7F7F" w:themeColor="text1" w:themeTint="80"/>
              <w:sz w:val="18"/>
            </w:rPr>
          </w:pPr>
        </w:p>
      </w:tc>
      <w:tc>
        <w:tcPr>
          <w:tcW w:w="3974" w:type="dxa"/>
        </w:tcPr>
        <w:p w14:paraId="24BF22D5" w14:textId="102C4E57" w:rsidR="00E328D5" w:rsidRPr="00AB7476" w:rsidRDefault="009E3D2F" w:rsidP="00033CCD">
          <w:pPr>
            <w:pStyle w:val="Footer"/>
            <w:jc w:val="center"/>
            <w:rPr>
              <w:color w:val="7F7F7F" w:themeColor="text1" w:themeTint="80"/>
            </w:rPr>
          </w:pPr>
          <w:r w:rsidRPr="00AB7476">
            <w:rPr>
              <w:color w:val="7F7F7F" w:themeColor="text1" w:themeTint="80"/>
              <w:sz w:val="18"/>
            </w:rPr>
            <w:t xml:space="preserve">Page </w:t>
          </w:r>
          <w:r w:rsidRPr="00AB7476">
            <w:rPr>
              <w:color w:val="7F7F7F" w:themeColor="text1" w:themeTint="80"/>
              <w:sz w:val="18"/>
            </w:rPr>
            <w:fldChar w:fldCharType="begin"/>
          </w:r>
          <w:r w:rsidRPr="00AB7476">
            <w:rPr>
              <w:color w:val="7F7F7F" w:themeColor="text1" w:themeTint="80"/>
              <w:sz w:val="18"/>
            </w:rPr>
            <w:instrText xml:space="preserve"> PAGE   \* MERGEFORMAT </w:instrText>
          </w:r>
          <w:r w:rsidRPr="00AB7476">
            <w:rPr>
              <w:color w:val="7F7F7F" w:themeColor="text1" w:themeTint="80"/>
              <w:sz w:val="18"/>
            </w:rPr>
            <w:fldChar w:fldCharType="separate"/>
          </w:r>
          <w:r w:rsidR="00CA1203">
            <w:rPr>
              <w:noProof/>
              <w:color w:val="7F7F7F" w:themeColor="text1" w:themeTint="80"/>
              <w:sz w:val="18"/>
            </w:rPr>
            <w:t>3</w:t>
          </w:r>
          <w:r w:rsidRPr="00AB7476">
            <w:rPr>
              <w:color w:val="7F7F7F" w:themeColor="text1" w:themeTint="80"/>
              <w:sz w:val="18"/>
            </w:rPr>
            <w:fldChar w:fldCharType="end"/>
          </w:r>
          <w:r w:rsidRPr="00AB7476">
            <w:rPr>
              <w:color w:val="7F7F7F" w:themeColor="text1" w:themeTint="80"/>
              <w:sz w:val="18"/>
            </w:rPr>
            <w:t xml:space="preserve"> of</w:t>
          </w:r>
          <w:r>
            <w:rPr>
              <w:color w:val="7F7F7F" w:themeColor="text1" w:themeTint="80"/>
              <w:sz w:val="18"/>
            </w:rPr>
            <w:t xml:space="preserve"> 6</w:t>
          </w:r>
        </w:p>
      </w:tc>
      <w:tc>
        <w:tcPr>
          <w:tcW w:w="2693" w:type="dxa"/>
        </w:tcPr>
        <w:p w14:paraId="7388FB99" w14:textId="77777777" w:rsidR="00033CCD" w:rsidRPr="00AB7476" w:rsidRDefault="00033CCD" w:rsidP="00033CCD">
          <w:pPr>
            <w:pStyle w:val="Footer"/>
            <w:rPr>
              <w:color w:val="7F7F7F" w:themeColor="text1" w:themeTint="80"/>
              <w:sz w:val="16"/>
              <w:szCs w:val="16"/>
            </w:rPr>
          </w:pPr>
        </w:p>
      </w:tc>
    </w:tr>
  </w:tbl>
  <w:p w14:paraId="6A0B53B6" w14:textId="77777777" w:rsidR="00E328D5" w:rsidRPr="00033CCD" w:rsidRDefault="00E328D5">
    <w:pPr>
      <w:pStyle w:val="Foote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C21C" w14:textId="6B0B61F8" w:rsidR="00750DEC" w:rsidRDefault="00750DEC" w:rsidP="007128C9">
    <w:pPr>
      <w:pStyle w:val="Footer"/>
      <w:tabs>
        <w:tab w:val="clear" w:pos="4513"/>
        <w:tab w:val="clear" w:pos="9026"/>
        <w:tab w:val="left" w:pos="5595"/>
      </w:tabs>
      <w:jc w:val="center"/>
      <w:rPr>
        <w:color w:val="7F7F7F" w:themeColor="text1" w:themeTint="80"/>
        <w:sz w:val="18"/>
      </w:rPr>
    </w:pPr>
    <w:r w:rsidRPr="00AB7476">
      <w:rPr>
        <w:color w:val="7F7F7F" w:themeColor="text1" w:themeTint="80"/>
        <w:sz w:val="18"/>
      </w:rPr>
      <w:t xml:space="preserve">Page </w:t>
    </w:r>
    <w:r w:rsidRPr="00AB7476">
      <w:rPr>
        <w:color w:val="7F7F7F" w:themeColor="text1" w:themeTint="80"/>
        <w:sz w:val="18"/>
      </w:rPr>
      <w:fldChar w:fldCharType="begin"/>
    </w:r>
    <w:r w:rsidRPr="00AB7476">
      <w:rPr>
        <w:color w:val="7F7F7F" w:themeColor="text1" w:themeTint="80"/>
        <w:sz w:val="18"/>
      </w:rPr>
      <w:instrText xml:space="preserve"> PAGE   \* MERGEFORMAT </w:instrText>
    </w:r>
    <w:r w:rsidRPr="00AB7476">
      <w:rPr>
        <w:color w:val="7F7F7F" w:themeColor="text1" w:themeTint="80"/>
        <w:sz w:val="18"/>
      </w:rPr>
      <w:fldChar w:fldCharType="separate"/>
    </w:r>
    <w:r w:rsidR="00CA1203">
      <w:rPr>
        <w:noProof/>
        <w:color w:val="7F7F7F" w:themeColor="text1" w:themeTint="80"/>
        <w:sz w:val="18"/>
      </w:rPr>
      <w:t>6</w:t>
    </w:r>
    <w:r w:rsidRPr="00AB7476">
      <w:rPr>
        <w:color w:val="7F7F7F" w:themeColor="text1" w:themeTint="80"/>
        <w:sz w:val="18"/>
      </w:rPr>
      <w:fldChar w:fldCharType="end"/>
    </w:r>
    <w:r w:rsidRPr="00AB7476">
      <w:rPr>
        <w:color w:val="7F7F7F" w:themeColor="text1" w:themeTint="80"/>
        <w:sz w:val="18"/>
      </w:rPr>
      <w:t xml:space="preserve"> of</w:t>
    </w:r>
    <w:r>
      <w:rPr>
        <w:color w:val="7F7F7F" w:themeColor="text1" w:themeTint="80"/>
        <w:sz w:val="18"/>
      </w:rPr>
      <w:t xml:space="preserve">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974"/>
      <w:gridCol w:w="2693"/>
    </w:tblGrid>
    <w:tr w:rsidR="00750DEC" w:rsidRPr="00AB7476" w14:paraId="01F0B824" w14:textId="77777777" w:rsidTr="00B07139">
      <w:tc>
        <w:tcPr>
          <w:tcW w:w="3080" w:type="dxa"/>
        </w:tcPr>
        <w:p w14:paraId="3CC11488" w14:textId="77777777" w:rsidR="00750DEC" w:rsidRPr="00AB7476" w:rsidRDefault="00750DEC" w:rsidP="00750DEC">
          <w:pPr>
            <w:pStyle w:val="Footer"/>
            <w:rPr>
              <w:b/>
              <w:color w:val="7F7F7F" w:themeColor="text1" w:themeTint="80"/>
              <w:sz w:val="20"/>
              <w:szCs w:val="16"/>
            </w:rPr>
          </w:pPr>
          <w:r w:rsidRPr="00AB7476">
            <w:rPr>
              <w:b/>
              <w:color w:val="7F7F7F" w:themeColor="text1" w:themeTint="80"/>
              <w:sz w:val="20"/>
              <w:szCs w:val="16"/>
            </w:rPr>
            <w:t>Salus Medical Services Limited</w:t>
          </w:r>
        </w:p>
        <w:p w14:paraId="563D8876" w14:textId="77777777" w:rsidR="00750DEC" w:rsidRPr="00AB7476" w:rsidRDefault="00750DEC" w:rsidP="00750DEC">
          <w:pPr>
            <w:pStyle w:val="Footer"/>
            <w:rPr>
              <w:color w:val="7F7F7F" w:themeColor="text1" w:themeTint="80"/>
              <w:sz w:val="16"/>
              <w:szCs w:val="16"/>
            </w:rPr>
          </w:pPr>
          <w:r w:rsidRPr="00AB7476">
            <w:rPr>
              <w:color w:val="7F7F7F" w:themeColor="text1" w:themeTint="80"/>
              <w:sz w:val="16"/>
              <w:szCs w:val="16"/>
            </w:rPr>
            <w:t>Aldershot Centre for Health</w:t>
          </w:r>
        </w:p>
        <w:p w14:paraId="11A8F5A8" w14:textId="77777777" w:rsidR="00750DEC" w:rsidRPr="00AB7476" w:rsidRDefault="00750DEC" w:rsidP="00750DEC">
          <w:pPr>
            <w:pStyle w:val="Footer"/>
            <w:rPr>
              <w:color w:val="7F7F7F" w:themeColor="text1" w:themeTint="80"/>
            </w:rPr>
          </w:pPr>
          <w:r w:rsidRPr="00AB7476">
            <w:rPr>
              <w:color w:val="7F7F7F" w:themeColor="text1" w:themeTint="80"/>
              <w:sz w:val="16"/>
              <w:szCs w:val="16"/>
            </w:rPr>
            <w:t>Hospital Hill, ALDERSHOT, GU11 1AF</w:t>
          </w:r>
        </w:p>
      </w:tc>
      <w:tc>
        <w:tcPr>
          <w:tcW w:w="3974" w:type="dxa"/>
        </w:tcPr>
        <w:p w14:paraId="19E4D8E5" w14:textId="77777777" w:rsidR="00750DEC" w:rsidRPr="00AB7476" w:rsidRDefault="00750DEC" w:rsidP="00750DEC">
          <w:pPr>
            <w:pStyle w:val="Footer"/>
            <w:jc w:val="center"/>
            <w:rPr>
              <w:color w:val="7F7F7F" w:themeColor="text1" w:themeTint="80"/>
              <w:sz w:val="14"/>
              <w:szCs w:val="14"/>
            </w:rPr>
          </w:pPr>
          <w:r w:rsidRPr="00AB7476">
            <w:rPr>
              <w:color w:val="7F7F7F" w:themeColor="text1" w:themeTint="80"/>
              <w:sz w:val="14"/>
              <w:szCs w:val="14"/>
            </w:rPr>
            <w:t xml:space="preserve">Registered in England </w:t>
          </w:r>
        </w:p>
        <w:p w14:paraId="7B6178C4" w14:textId="77777777" w:rsidR="00750DEC" w:rsidRPr="00AB7476" w:rsidRDefault="00750DEC" w:rsidP="00750DEC">
          <w:pPr>
            <w:pStyle w:val="Footer"/>
            <w:jc w:val="center"/>
            <w:rPr>
              <w:color w:val="7F7F7F" w:themeColor="text1" w:themeTint="80"/>
            </w:rPr>
          </w:pPr>
          <w:r w:rsidRPr="00AB7476">
            <w:rPr>
              <w:color w:val="7F7F7F" w:themeColor="text1" w:themeTint="80"/>
              <w:sz w:val="14"/>
              <w:szCs w:val="14"/>
            </w:rPr>
            <w:t>No: 9612540</w:t>
          </w:r>
        </w:p>
      </w:tc>
      <w:tc>
        <w:tcPr>
          <w:tcW w:w="2693" w:type="dxa"/>
        </w:tcPr>
        <w:p w14:paraId="65630484" w14:textId="77777777" w:rsidR="00750DEC" w:rsidRPr="00AB7476" w:rsidRDefault="00750DEC" w:rsidP="00750DEC">
          <w:pPr>
            <w:pStyle w:val="Footer"/>
            <w:jc w:val="right"/>
            <w:rPr>
              <w:color w:val="7F7F7F" w:themeColor="text1" w:themeTint="80"/>
              <w:sz w:val="16"/>
              <w:szCs w:val="16"/>
            </w:rPr>
          </w:pPr>
          <w:r w:rsidRPr="00AB7476">
            <w:rPr>
              <w:color w:val="7F7F7F" w:themeColor="text1" w:themeTint="80"/>
              <w:sz w:val="16"/>
              <w:szCs w:val="16"/>
            </w:rPr>
            <w:t>Tel: 01252 335431</w:t>
          </w:r>
          <w:r w:rsidRPr="00AB7476">
            <w:rPr>
              <w:color w:val="7F7F7F" w:themeColor="text1" w:themeTint="80"/>
              <w:sz w:val="16"/>
              <w:szCs w:val="16"/>
            </w:rPr>
            <w:br/>
            <w:t>Fax: 01252 335446</w:t>
          </w:r>
        </w:p>
        <w:p w14:paraId="22B12BF9" w14:textId="77777777" w:rsidR="00750DEC" w:rsidRPr="00AB7476" w:rsidRDefault="00750DEC" w:rsidP="00750DEC">
          <w:pPr>
            <w:pStyle w:val="Footer"/>
            <w:rPr>
              <w:color w:val="7F7F7F" w:themeColor="text1" w:themeTint="80"/>
              <w:sz w:val="16"/>
              <w:szCs w:val="16"/>
            </w:rPr>
          </w:pPr>
        </w:p>
      </w:tc>
    </w:tr>
  </w:tbl>
  <w:p w14:paraId="0AD4F7E7" w14:textId="77777777" w:rsidR="00750DEC" w:rsidRPr="00033CCD" w:rsidRDefault="00750DEC" w:rsidP="00750DEC">
    <w:pPr>
      <w:pStyle w:val="Footer"/>
      <w:rPr>
        <w:sz w:val="6"/>
      </w:rPr>
    </w:pPr>
  </w:p>
  <w:p w14:paraId="2EBA50F8" w14:textId="77777777" w:rsidR="00750DEC" w:rsidRPr="007C5336" w:rsidRDefault="00750DEC" w:rsidP="007128C9">
    <w:pPr>
      <w:pStyle w:val="Footer"/>
      <w:tabs>
        <w:tab w:val="clear" w:pos="4513"/>
        <w:tab w:val="clear" w:pos="9026"/>
        <w:tab w:val="left" w:pos="5595"/>
      </w:tabs>
      <w:jc w:val="center"/>
      <w:rPr>
        <w:color w:val="EEECE1" w:themeColor="background2"/>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93DAD" w14:textId="77777777" w:rsidR="005741AD" w:rsidRDefault="005741AD" w:rsidP="00E272AA">
      <w:r>
        <w:separator/>
      </w:r>
    </w:p>
  </w:footnote>
  <w:footnote w:type="continuationSeparator" w:id="0">
    <w:p w14:paraId="315607B7" w14:textId="77777777" w:rsidR="005741AD" w:rsidRDefault="005741AD" w:rsidP="00E2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770"/>
      <w:gridCol w:w="2800"/>
    </w:tblGrid>
    <w:tr w:rsidR="007128C9" w14:paraId="09A56782" w14:textId="77777777" w:rsidTr="0072499E">
      <w:tc>
        <w:tcPr>
          <w:tcW w:w="3284" w:type="dxa"/>
        </w:tcPr>
        <w:p w14:paraId="32AECDE9" w14:textId="77777777" w:rsidR="007128C9" w:rsidRDefault="007128C9" w:rsidP="0072499E">
          <w:pPr>
            <w:pStyle w:val="Header"/>
          </w:pPr>
        </w:p>
      </w:tc>
      <w:tc>
        <w:tcPr>
          <w:tcW w:w="3770" w:type="dxa"/>
        </w:tcPr>
        <w:p w14:paraId="771E2E45" w14:textId="77777777" w:rsidR="007128C9" w:rsidRDefault="007128C9" w:rsidP="0072499E">
          <w:pPr>
            <w:pStyle w:val="Header"/>
          </w:pPr>
        </w:p>
      </w:tc>
      <w:tc>
        <w:tcPr>
          <w:tcW w:w="2800" w:type="dxa"/>
        </w:tcPr>
        <w:p w14:paraId="5BE209F8" w14:textId="77777777" w:rsidR="007128C9" w:rsidRDefault="00334B13" w:rsidP="0072499E">
          <w:pPr>
            <w:pStyle w:val="Header"/>
            <w:jc w:val="right"/>
          </w:pPr>
          <w:r>
            <w:rPr>
              <w:noProof/>
              <w:lang w:eastAsia="en-GB"/>
            </w:rPr>
            <w:drawing>
              <wp:inline distT="0" distB="0" distL="0" distR="0" wp14:anchorId="028CE81B" wp14:editId="72B0F8AC">
                <wp:extent cx="942975" cy="512979"/>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9011" cy="516262"/>
                        </a:xfrm>
                        <a:prstGeom prst="rect">
                          <a:avLst/>
                        </a:prstGeom>
                        <a:noFill/>
                        <a:ln w="9525">
                          <a:noFill/>
                          <a:miter lim="800000"/>
                          <a:headEnd/>
                          <a:tailEnd/>
                        </a:ln>
                      </pic:spPr>
                    </pic:pic>
                  </a:graphicData>
                </a:graphic>
              </wp:inline>
            </w:drawing>
          </w:r>
        </w:p>
      </w:tc>
    </w:tr>
  </w:tbl>
  <w:p w14:paraId="298095BC" w14:textId="77777777" w:rsidR="00E272AA" w:rsidRDefault="00E272AA" w:rsidP="00D662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375"/>
      <w:gridCol w:w="5399"/>
    </w:tblGrid>
    <w:tr w:rsidR="00A41556" w14:paraId="14AC8840" w14:textId="77777777" w:rsidTr="005B651E">
      <w:tc>
        <w:tcPr>
          <w:tcW w:w="3198" w:type="dxa"/>
        </w:tcPr>
        <w:p w14:paraId="515CA018" w14:textId="77777777" w:rsidR="00A41556" w:rsidRDefault="00A41556">
          <w:pPr>
            <w:pStyle w:val="Header"/>
          </w:pPr>
        </w:p>
      </w:tc>
      <w:tc>
        <w:tcPr>
          <w:tcW w:w="3671" w:type="dxa"/>
        </w:tcPr>
        <w:p w14:paraId="6976969A" w14:textId="77777777" w:rsidR="00A41556" w:rsidRDefault="00A41556">
          <w:pPr>
            <w:pStyle w:val="Header"/>
          </w:pPr>
        </w:p>
      </w:tc>
      <w:tc>
        <w:tcPr>
          <w:tcW w:w="7634" w:type="dxa"/>
        </w:tcPr>
        <w:p w14:paraId="057C82A4" w14:textId="77777777" w:rsidR="00A41556" w:rsidRDefault="00334B13" w:rsidP="00E75B6F">
          <w:pPr>
            <w:pStyle w:val="Header"/>
            <w:jc w:val="right"/>
          </w:pPr>
          <w:r>
            <w:rPr>
              <w:noProof/>
              <w:lang w:eastAsia="en-GB"/>
            </w:rPr>
            <w:drawing>
              <wp:inline distT="0" distB="0" distL="0" distR="0" wp14:anchorId="0A40C66A" wp14:editId="093E9048">
                <wp:extent cx="924094" cy="501015"/>
                <wp:effectExtent l="0" t="0" r="9525" b="0"/>
                <wp:docPr id="5" name="Picture 2" descr="Salus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 Logo 3.jpg"/>
                        <pic:cNvPicPr/>
                      </pic:nvPicPr>
                      <pic:blipFill>
                        <a:blip r:embed="rId1"/>
                        <a:stretch>
                          <a:fillRect/>
                        </a:stretch>
                      </pic:blipFill>
                      <pic:spPr>
                        <a:xfrm>
                          <a:off x="0" y="0"/>
                          <a:ext cx="927163" cy="502679"/>
                        </a:xfrm>
                        <a:prstGeom prst="rect">
                          <a:avLst/>
                        </a:prstGeom>
                      </pic:spPr>
                    </pic:pic>
                  </a:graphicData>
                </a:graphic>
              </wp:inline>
            </w:drawing>
          </w:r>
        </w:p>
      </w:tc>
    </w:tr>
  </w:tbl>
  <w:p w14:paraId="39F3BB58" w14:textId="77777777" w:rsidR="008C35C7" w:rsidRDefault="008C35C7" w:rsidP="006E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7910"/>
    <w:multiLevelType w:val="hybridMultilevel"/>
    <w:tmpl w:val="6D94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450C3"/>
    <w:multiLevelType w:val="hybridMultilevel"/>
    <w:tmpl w:val="1DBC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5656A"/>
    <w:multiLevelType w:val="hybridMultilevel"/>
    <w:tmpl w:val="AEFC8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59"/>
    <w:rsid w:val="0000197F"/>
    <w:rsid w:val="00002F29"/>
    <w:rsid w:val="00004145"/>
    <w:rsid w:val="00006075"/>
    <w:rsid w:val="00025877"/>
    <w:rsid w:val="00033CCD"/>
    <w:rsid w:val="00047EF8"/>
    <w:rsid w:val="0007292F"/>
    <w:rsid w:val="00083800"/>
    <w:rsid w:val="000A5B6C"/>
    <w:rsid w:val="000C5778"/>
    <w:rsid w:val="000D1B70"/>
    <w:rsid w:val="000E29D5"/>
    <w:rsid w:val="000E3537"/>
    <w:rsid w:val="001551E4"/>
    <w:rsid w:val="00170398"/>
    <w:rsid w:val="001A791A"/>
    <w:rsid w:val="001B346B"/>
    <w:rsid w:val="001B7571"/>
    <w:rsid w:val="00210C3C"/>
    <w:rsid w:val="002248CC"/>
    <w:rsid w:val="002336E9"/>
    <w:rsid w:val="002361E7"/>
    <w:rsid w:val="00241CC1"/>
    <w:rsid w:val="002442FC"/>
    <w:rsid w:val="0029381C"/>
    <w:rsid w:val="002C1971"/>
    <w:rsid w:val="002C42E9"/>
    <w:rsid w:val="002E40C4"/>
    <w:rsid w:val="00334B13"/>
    <w:rsid w:val="003451DE"/>
    <w:rsid w:val="00356EAD"/>
    <w:rsid w:val="0038136F"/>
    <w:rsid w:val="003B0898"/>
    <w:rsid w:val="0040753F"/>
    <w:rsid w:val="00410274"/>
    <w:rsid w:val="004436EA"/>
    <w:rsid w:val="00446C7A"/>
    <w:rsid w:val="004720DF"/>
    <w:rsid w:val="00494F2C"/>
    <w:rsid w:val="004A773B"/>
    <w:rsid w:val="004B6916"/>
    <w:rsid w:val="004D0F11"/>
    <w:rsid w:val="004D162E"/>
    <w:rsid w:val="00513EBC"/>
    <w:rsid w:val="005154C9"/>
    <w:rsid w:val="00525083"/>
    <w:rsid w:val="0052557B"/>
    <w:rsid w:val="00530F74"/>
    <w:rsid w:val="005358F1"/>
    <w:rsid w:val="005615D4"/>
    <w:rsid w:val="005741AD"/>
    <w:rsid w:val="00591EEB"/>
    <w:rsid w:val="005A7C30"/>
    <w:rsid w:val="005B651E"/>
    <w:rsid w:val="005D0F93"/>
    <w:rsid w:val="00615BBC"/>
    <w:rsid w:val="006A1DB1"/>
    <w:rsid w:val="006A30FE"/>
    <w:rsid w:val="006C72AA"/>
    <w:rsid w:val="006E15D6"/>
    <w:rsid w:val="006E17D9"/>
    <w:rsid w:val="006E32BE"/>
    <w:rsid w:val="007128C9"/>
    <w:rsid w:val="007352A2"/>
    <w:rsid w:val="00750DEC"/>
    <w:rsid w:val="007755F5"/>
    <w:rsid w:val="00785900"/>
    <w:rsid w:val="007C5336"/>
    <w:rsid w:val="007D34C6"/>
    <w:rsid w:val="007F0658"/>
    <w:rsid w:val="0080261B"/>
    <w:rsid w:val="00826650"/>
    <w:rsid w:val="00827FF8"/>
    <w:rsid w:val="00833F98"/>
    <w:rsid w:val="00870688"/>
    <w:rsid w:val="00893722"/>
    <w:rsid w:val="008C35C7"/>
    <w:rsid w:val="008D3B62"/>
    <w:rsid w:val="008F25A3"/>
    <w:rsid w:val="009351CC"/>
    <w:rsid w:val="009575E1"/>
    <w:rsid w:val="00982BF5"/>
    <w:rsid w:val="00992BCE"/>
    <w:rsid w:val="00993873"/>
    <w:rsid w:val="00996E4D"/>
    <w:rsid w:val="009B69A5"/>
    <w:rsid w:val="009E1BC6"/>
    <w:rsid w:val="009E3D2F"/>
    <w:rsid w:val="009F547B"/>
    <w:rsid w:val="00A27E53"/>
    <w:rsid w:val="00A33B56"/>
    <w:rsid w:val="00A41556"/>
    <w:rsid w:val="00A52CCF"/>
    <w:rsid w:val="00A87FC1"/>
    <w:rsid w:val="00AB7476"/>
    <w:rsid w:val="00AB7A2E"/>
    <w:rsid w:val="00AC7FEA"/>
    <w:rsid w:val="00AE1C9B"/>
    <w:rsid w:val="00AF2CDA"/>
    <w:rsid w:val="00B13D37"/>
    <w:rsid w:val="00B36304"/>
    <w:rsid w:val="00B502C0"/>
    <w:rsid w:val="00B66E92"/>
    <w:rsid w:val="00B7011D"/>
    <w:rsid w:val="00B80C39"/>
    <w:rsid w:val="00B90906"/>
    <w:rsid w:val="00B91442"/>
    <w:rsid w:val="00BC0695"/>
    <w:rsid w:val="00BC6DF9"/>
    <w:rsid w:val="00BC75C4"/>
    <w:rsid w:val="00C46581"/>
    <w:rsid w:val="00C716B8"/>
    <w:rsid w:val="00CA1203"/>
    <w:rsid w:val="00CB3129"/>
    <w:rsid w:val="00CE5870"/>
    <w:rsid w:val="00CE5F71"/>
    <w:rsid w:val="00D1661D"/>
    <w:rsid w:val="00D40459"/>
    <w:rsid w:val="00D6621F"/>
    <w:rsid w:val="00D77B38"/>
    <w:rsid w:val="00DF57BC"/>
    <w:rsid w:val="00E272AA"/>
    <w:rsid w:val="00E328D5"/>
    <w:rsid w:val="00E75B6F"/>
    <w:rsid w:val="00E77F70"/>
    <w:rsid w:val="00E8381E"/>
    <w:rsid w:val="00E843A6"/>
    <w:rsid w:val="00E8516D"/>
    <w:rsid w:val="00E97AD3"/>
    <w:rsid w:val="00EB00AE"/>
    <w:rsid w:val="00EC63F5"/>
    <w:rsid w:val="00EF1FF8"/>
    <w:rsid w:val="00EF376E"/>
    <w:rsid w:val="00EF3ECE"/>
    <w:rsid w:val="00F61E8F"/>
    <w:rsid w:val="00F65AA2"/>
    <w:rsid w:val="00F72DD0"/>
    <w:rsid w:val="00F772E6"/>
    <w:rsid w:val="00F81839"/>
    <w:rsid w:val="00F83AA4"/>
    <w:rsid w:val="00F87254"/>
    <w:rsid w:val="00FA5E76"/>
    <w:rsid w:val="00FA77EF"/>
    <w:rsid w:val="00FB1E1C"/>
    <w:rsid w:val="00FE1403"/>
    <w:rsid w:val="00FE7CF5"/>
    <w:rsid w:val="00FE7EE2"/>
    <w:rsid w:val="00FF00DE"/>
    <w:rsid w:val="00FF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FC8C8"/>
  <w15:docId w15:val="{2905A09D-7AFF-4302-BB7E-83EF560A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877"/>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styleId="Header">
    <w:name w:val="header"/>
    <w:basedOn w:val="Normal"/>
    <w:link w:val="HeaderChar"/>
    <w:uiPriority w:val="99"/>
    <w:unhideWhenUsed/>
    <w:rsid w:val="00E272AA"/>
    <w:pPr>
      <w:tabs>
        <w:tab w:val="center" w:pos="4513"/>
        <w:tab w:val="right" w:pos="9026"/>
      </w:tabs>
    </w:pPr>
  </w:style>
  <w:style w:type="character" w:customStyle="1" w:styleId="HeaderChar">
    <w:name w:val="Header Char"/>
    <w:basedOn w:val="DefaultParagraphFont"/>
    <w:link w:val="Header"/>
    <w:uiPriority w:val="99"/>
    <w:rsid w:val="00E272AA"/>
  </w:style>
  <w:style w:type="paragraph" w:styleId="Footer">
    <w:name w:val="footer"/>
    <w:basedOn w:val="Normal"/>
    <w:link w:val="FooterChar"/>
    <w:uiPriority w:val="99"/>
    <w:unhideWhenUsed/>
    <w:rsid w:val="00E272AA"/>
    <w:pPr>
      <w:tabs>
        <w:tab w:val="center" w:pos="4513"/>
        <w:tab w:val="right" w:pos="9026"/>
      </w:tabs>
    </w:pPr>
  </w:style>
  <w:style w:type="character" w:customStyle="1" w:styleId="FooterChar">
    <w:name w:val="Footer Char"/>
    <w:basedOn w:val="DefaultParagraphFont"/>
    <w:link w:val="Footer"/>
    <w:uiPriority w:val="99"/>
    <w:rsid w:val="00E272AA"/>
  </w:style>
  <w:style w:type="table" w:styleId="TableGrid">
    <w:name w:val="Table Grid"/>
    <w:basedOn w:val="TableNormal"/>
    <w:uiPriority w:val="59"/>
    <w:rsid w:val="00E3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hughes\OneDrive\Documents\Work\Transformation%20Plan\ACO\ICSbo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09FD-1077-47C8-B61E-AFB1BC35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ICSboard</Template>
  <TotalTime>1</TotalTime>
  <Pages>6</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 BELL</cp:lastModifiedBy>
  <cp:revision>2</cp:revision>
  <cp:lastPrinted>2018-09-06T10:15:00Z</cp:lastPrinted>
  <dcterms:created xsi:type="dcterms:W3CDTF">2018-09-12T11:57:00Z</dcterms:created>
  <dcterms:modified xsi:type="dcterms:W3CDTF">2018-09-12T11:57:00Z</dcterms:modified>
</cp:coreProperties>
</file>